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76" w:rsidRDefault="00A21076">
      <w:pPr>
        <w:outlineLvl w:val="0"/>
      </w:pPr>
    </w:p>
    <w:p w:rsidR="00A21076" w:rsidRPr="008031DC" w:rsidRDefault="00A21076">
      <w:pPr>
        <w:outlineLvl w:val="0"/>
        <w:rPr>
          <w:b/>
          <w:color w:val="808080"/>
          <w:sz w:val="32"/>
          <w:szCs w:val="32"/>
        </w:rPr>
      </w:pPr>
      <w:r w:rsidRPr="008031DC">
        <w:rPr>
          <w:b/>
          <w:color w:val="808080"/>
          <w:sz w:val="32"/>
          <w:szCs w:val="32"/>
        </w:rPr>
        <w:t>TISKOVÁ ZPRÁVA</w:t>
      </w:r>
    </w:p>
    <w:p w:rsidR="005C5354" w:rsidRDefault="00365301" w:rsidP="001529B8">
      <w:pPr>
        <w:pBdr>
          <w:bottom w:val="single" w:sz="4" w:space="1" w:color="auto"/>
        </w:pBdr>
        <w:rPr>
          <w:b/>
          <w:bCs/>
          <w:color w:val="808080"/>
          <w:sz w:val="32"/>
          <w:szCs w:val="32"/>
        </w:rPr>
      </w:pPr>
      <w:r>
        <w:rPr>
          <w:b/>
          <w:bCs/>
          <w:color w:val="808080"/>
          <w:sz w:val="32"/>
          <w:szCs w:val="32"/>
        </w:rPr>
        <w:t>Stanovisko odborného pracoviště Národního památkového ústavu k</w:t>
      </w:r>
      <w:r w:rsidR="001A4E46">
        <w:rPr>
          <w:b/>
          <w:bCs/>
          <w:color w:val="808080"/>
          <w:sz w:val="32"/>
          <w:szCs w:val="32"/>
        </w:rPr>
        <w:t xml:space="preserve"> umístění památníku </w:t>
      </w:r>
      <w:r w:rsidR="00C563C1">
        <w:rPr>
          <w:b/>
          <w:bCs/>
          <w:color w:val="808080"/>
          <w:sz w:val="32"/>
          <w:szCs w:val="32"/>
        </w:rPr>
        <w:t xml:space="preserve">biskupa </w:t>
      </w:r>
      <w:r w:rsidR="001A4E46">
        <w:rPr>
          <w:b/>
          <w:bCs/>
          <w:color w:val="808080"/>
          <w:sz w:val="32"/>
          <w:szCs w:val="32"/>
        </w:rPr>
        <w:t xml:space="preserve">Karla II. </w:t>
      </w:r>
      <w:r w:rsidR="001A4E46" w:rsidRPr="001A4E46">
        <w:rPr>
          <w:b/>
          <w:bCs/>
          <w:color w:val="808080"/>
          <w:sz w:val="32"/>
          <w:szCs w:val="32"/>
        </w:rPr>
        <w:t xml:space="preserve">z </w:t>
      </w:r>
      <w:proofErr w:type="spellStart"/>
      <w:r w:rsidR="001A4E46" w:rsidRPr="001A4E46">
        <w:rPr>
          <w:b/>
          <w:bCs/>
          <w:color w:val="808080"/>
          <w:sz w:val="32"/>
          <w:szCs w:val="32"/>
        </w:rPr>
        <w:t>Lichtensteinu-Castelcorna</w:t>
      </w:r>
      <w:proofErr w:type="spellEnd"/>
      <w:r w:rsidR="00216794">
        <w:rPr>
          <w:b/>
          <w:bCs/>
          <w:color w:val="808080"/>
          <w:sz w:val="32"/>
          <w:szCs w:val="32"/>
        </w:rPr>
        <w:t xml:space="preserve"> v </w:t>
      </w:r>
      <w:r w:rsidR="001A4E46">
        <w:rPr>
          <w:b/>
          <w:bCs/>
          <w:color w:val="808080"/>
          <w:sz w:val="32"/>
          <w:szCs w:val="32"/>
        </w:rPr>
        <w:t>Kroměříži</w:t>
      </w:r>
    </w:p>
    <w:p w:rsidR="00E473C0" w:rsidRPr="00261AAC" w:rsidRDefault="00E473C0" w:rsidP="001529B8">
      <w:pPr>
        <w:pBdr>
          <w:bottom w:val="single" w:sz="4" w:space="1" w:color="auto"/>
        </w:pBdr>
        <w:rPr>
          <w:b/>
          <w:bCs/>
          <w:color w:val="808080"/>
          <w:szCs w:val="22"/>
        </w:rPr>
      </w:pPr>
    </w:p>
    <w:p w:rsidR="004E1E96" w:rsidRPr="00B34E7F" w:rsidRDefault="004E1E96" w:rsidP="001529B8">
      <w:pPr>
        <w:pBdr>
          <w:bottom w:val="single" w:sz="4" w:space="1" w:color="auto"/>
        </w:pBdr>
        <w:rPr>
          <w:b/>
          <w:bCs/>
          <w:szCs w:val="22"/>
        </w:rPr>
      </w:pPr>
      <w:r w:rsidRPr="00B34E7F">
        <w:rPr>
          <w:b/>
          <w:bCs/>
          <w:szCs w:val="22"/>
        </w:rPr>
        <w:t xml:space="preserve">Kroměříž, </w:t>
      </w:r>
      <w:r w:rsidR="001A4E46">
        <w:rPr>
          <w:b/>
          <w:bCs/>
          <w:szCs w:val="22"/>
        </w:rPr>
        <w:t>1</w:t>
      </w:r>
      <w:r w:rsidR="00216794">
        <w:rPr>
          <w:b/>
          <w:bCs/>
          <w:szCs w:val="22"/>
        </w:rPr>
        <w:t>1</w:t>
      </w:r>
      <w:r w:rsidR="00365301">
        <w:rPr>
          <w:b/>
          <w:bCs/>
          <w:szCs w:val="22"/>
        </w:rPr>
        <w:t xml:space="preserve">. </w:t>
      </w:r>
      <w:r w:rsidR="001A4E46">
        <w:rPr>
          <w:b/>
          <w:bCs/>
          <w:szCs w:val="22"/>
        </w:rPr>
        <w:t>července</w:t>
      </w:r>
      <w:r w:rsidR="00365301">
        <w:rPr>
          <w:b/>
          <w:bCs/>
          <w:szCs w:val="22"/>
        </w:rPr>
        <w:t xml:space="preserve"> 20</w:t>
      </w:r>
      <w:r w:rsidR="001A4E46">
        <w:rPr>
          <w:b/>
          <w:bCs/>
          <w:szCs w:val="22"/>
        </w:rPr>
        <w:t>24</w:t>
      </w:r>
    </w:p>
    <w:p w:rsidR="00A21076" w:rsidRPr="00261AAC" w:rsidRDefault="00A21076">
      <w:pPr>
        <w:rPr>
          <w:szCs w:val="22"/>
        </w:rPr>
      </w:pPr>
    </w:p>
    <w:p w:rsidR="00A46414" w:rsidRPr="00D53487" w:rsidRDefault="001A4E46" w:rsidP="00B34E7F">
      <w:pPr>
        <w:spacing w:line="276" w:lineRule="auto"/>
        <w:jc w:val="both"/>
        <w:rPr>
          <w:b/>
          <w:szCs w:val="22"/>
        </w:rPr>
      </w:pPr>
      <w:r>
        <w:rPr>
          <w:rFonts w:cs="Calibri"/>
          <w:b/>
          <w:color w:val="000000"/>
        </w:rPr>
        <w:t>Záměr</w:t>
      </w:r>
      <w:r w:rsidR="00365301" w:rsidRPr="00D53487">
        <w:rPr>
          <w:rFonts w:cs="Calibri"/>
          <w:b/>
          <w:color w:val="000000"/>
        </w:rPr>
        <w:t xml:space="preserve"> </w:t>
      </w:r>
      <w:r>
        <w:rPr>
          <w:rFonts w:cs="Calibri"/>
          <w:b/>
          <w:color w:val="000000"/>
        </w:rPr>
        <w:t xml:space="preserve">vedení města Kroměříž k umístění památníku biskupa Karla II. z </w:t>
      </w:r>
      <w:proofErr w:type="spellStart"/>
      <w:r>
        <w:rPr>
          <w:rFonts w:cs="Calibri"/>
          <w:b/>
          <w:color w:val="000000"/>
        </w:rPr>
        <w:t>Lichtensteinu-Castelcorna</w:t>
      </w:r>
      <w:proofErr w:type="spellEnd"/>
      <w:r>
        <w:rPr>
          <w:rFonts w:cs="Calibri"/>
          <w:b/>
          <w:color w:val="000000"/>
        </w:rPr>
        <w:t xml:space="preserve"> </w:t>
      </w:r>
      <w:r w:rsidR="00365301" w:rsidRPr="00D53487">
        <w:rPr>
          <w:rFonts w:cs="Calibri"/>
          <w:b/>
          <w:color w:val="000000"/>
        </w:rPr>
        <w:t>v Kroměříži poutá pozornost</w:t>
      </w:r>
      <w:r w:rsidR="009C49DE" w:rsidRPr="00D53487">
        <w:rPr>
          <w:rFonts w:cs="Calibri"/>
          <w:b/>
          <w:color w:val="000000"/>
        </w:rPr>
        <w:t xml:space="preserve"> nejen médií,</w:t>
      </w:r>
      <w:r w:rsidR="00365301" w:rsidRPr="00D53487">
        <w:rPr>
          <w:rFonts w:cs="Calibri"/>
          <w:b/>
          <w:color w:val="000000"/>
        </w:rPr>
        <w:t xml:space="preserve"> ale i </w:t>
      </w:r>
      <w:r w:rsidR="009C49DE" w:rsidRPr="00D53487">
        <w:rPr>
          <w:rFonts w:cs="Calibri"/>
          <w:b/>
          <w:color w:val="000000"/>
        </w:rPr>
        <w:t xml:space="preserve">veřejnosti. S ohledem na </w:t>
      </w:r>
      <w:r w:rsidR="002176A4">
        <w:rPr>
          <w:rFonts w:cs="Calibri"/>
          <w:b/>
          <w:color w:val="000000"/>
        </w:rPr>
        <w:t>množství</w:t>
      </w:r>
      <w:r w:rsidR="009C49DE" w:rsidRPr="00D53487">
        <w:rPr>
          <w:rFonts w:cs="Calibri"/>
          <w:b/>
          <w:color w:val="000000"/>
        </w:rPr>
        <w:t xml:space="preserve"> dotazů</w:t>
      </w:r>
      <w:r w:rsidR="002176A4">
        <w:rPr>
          <w:rFonts w:cs="Calibri"/>
          <w:b/>
          <w:color w:val="000000"/>
        </w:rPr>
        <w:t xml:space="preserve">, </w:t>
      </w:r>
      <w:r w:rsidR="009C49DE" w:rsidRPr="00D53487">
        <w:rPr>
          <w:rFonts w:cs="Calibri"/>
          <w:b/>
          <w:color w:val="000000"/>
        </w:rPr>
        <w:t>ke kterým se odborné pracoviště Národního památkového ústavu opakovaně vyjadřovalo</w:t>
      </w:r>
      <w:r w:rsidR="006A5ACB">
        <w:rPr>
          <w:rFonts w:cs="Calibri"/>
          <w:b/>
          <w:color w:val="000000"/>
        </w:rPr>
        <w:t>,</w:t>
      </w:r>
      <w:r w:rsidR="009C49DE" w:rsidRPr="00D53487">
        <w:rPr>
          <w:rFonts w:cs="Calibri"/>
          <w:b/>
          <w:color w:val="000000"/>
        </w:rPr>
        <w:t xml:space="preserve"> a zejména ve snaze </w:t>
      </w:r>
      <w:r>
        <w:rPr>
          <w:rFonts w:cs="Calibri"/>
          <w:b/>
          <w:color w:val="000000"/>
        </w:rPr>
        <w:t xml:space="preserve">objasnit a vysvětlit postoj kroměřížského odborného pracoviště </w:t>
      </w:r>
      <w:r w:rsidR="00BE2BBE">
        <w:rPr>
          <w:rFonts w:cs="Calibri"/>
          <w:b/>
          <w:color w:val="000000"/>
        </w:rPr>
        <w:t>k finálnímu rozhodnutí městského úřadu</w:t>
      </w:r>
      <w:r w:rsidR="00365301" w:rsidRPr="00D53487">
        <w:rPr>
          <w:rFonts w:cs="Calibri"/>
          <w:b/>
          <w:color w:val="000000"/>
        </w:rPr>
        <w:t xml:space="preserve">, </w:t>
      </w:r>
      <w:r w:rsidR="009C49DE" w:rsidRPr="00D53487">
        <w:rPr>
          <w:rFonts w:cs="Calibri"/>
          <w:b/>
          <w:color w:val="000000"/>
        </w:rPr>
        <w:t xml:space="preserve">vydává územní odborné pracoviště Národního </w:t>
      </w:r>
      <w:r w:rsidR="00A55B38">
        <w:rPr>
          <w:rFonts w:cs="Calibri"/>
          <w:b/>
          <w:color w:val="000000"/>
        </w:rPr>
        <w:t xml:space="preserve">památkového ústavu v Kroměříži </w:t>
      </w:r>
      <w:r w:rsidR="00365301" w:rsidRPr="00D53487">
        <w:rPr>
          <w:rFonts w:cs="Calibri"/>
          <w:b/>
          <w:color w:val="000000"/>
        </w:rPr>
        <w:t>následující stanovisko.</w:t>
      </w:r>
    </w:p>
    <w:p w:rsidR="00365301" w:rsidRDefault="00365301" w:rsidP="00B34E7F">
      <w:pPr>
        <w:spacing w:line="276" w:lineRule="auto"/>
        <w:jc w:val="both"/>
        <w:rPr>
          <w:szCs w:val="22"/>
        </w:rPr>
      </w:pPr>
    </w:p>
    <w:p w:rsidR="00C6484C" w:rsidRDefault="00A55B38" w:rsidP="00EA180F">
      <w:pPr>
        <w:jc w:val="both"/>
        <w:rPr>
          <w:rFonts w:cs="Calibri"/>
          <w:szCs w:val="22"/>
        </w:rPr>
      </w:pPr>
      <w:r>
        <w:rPr>
          <w:rFonts w:cs="Calibri"/>
          <w:color w:val="000000"/>
        </w:rPr>
        <w:t xml:space="preserve">Národní památkový ústav, územní odborné pracoviště v Kroměříži </w:t>
      </w:r>
      <w:r>
        <w:rPr>
          <w:rFonts w:cs="Calibri"/>
          <w:szCs w:val="22"/>
        </w:rPr>
        <w:t>(dále „</w:t>
      </w:r>
      <w:r w:rsidR="00EA180F">
        <w:rPr>
          <w:rFonts w:cs="Calibri"/>
          <w:szCs w:val="22"/>
        </w:rPr>
        <w:t>NPÚ</w:t>
      </w:r>
      <w:r w:rsidR="00C6484C">
        <w:rPr>
          <w:rFonts w:cs="Calibri"/>
          <w:szCs w:val="22"/>
        </w:rPr>
        <w:t>, ÚOP v Kroměříži</w:t>
      </w:r>
      <w:r>
        <w:rPr>
          <w:rFonts w:cs="Calibri"/>
          <w:szCs w:val="22"/>
        </w:rPr>
        <w:t>“</w:t>
      </w:r>
      <w:r w:rsidR="00C6484C">
        <w:rPr>
          <w:rFonts w:cs="Calibri"/>
          <w:szCs w:val="22"/>
        </w:rPr>
        <w:t xml:space="preserve"> a „NPÚ“</w:t>
      </w:r>
      <w:r>
        <w:rPr>
          <w:rFonts w:cs="Calibri"/>
          <w:szCs w:val="22"/>
        </w:rPr>
        <w:t>)</w:t>
      </w:r>
      <w:r w:rsidR="00E81B84">
        <w:rPr>
          <w:rFonts w:cs="Calibri"/>
          <w:szCs w:val="22"/>
        </w:rPr>
        <w:t xml:space="preserve"> </w:t>
      </w:r>
      <w:r>
        <w:rPr>
          <w:rFonts w:cs="Calibri"/>
          <w:color w:val="000000"/>
        </w:rPr>
        <w:t>byl</w:t>
      </w:r>
      <w:r w:rsidR="00E81B84">
        <w:rPr>
          <w:rFonts w:cs="Calibri"/>
          <w:color w:val="000000"/>
        </w:rPr>
        <w:t>o</w:t>
      </w:r>
      <w:r>
        <w:rPr>
          <w:rFonts w:cs="Calibri"/>
          <w:color w:val="000000"/>
        </w:rPr>
        <w:t xml:space="preserve"> </w:t>
      </w:r>
      <w:r w:rsidR="006F1492">
        <w:rPr>
          <w:rFonts w:cs="Calibri"/>
          <w:color w:val="000000"/>
        </w:rPr>
        <w:t xml:space="preserve">poprvé ve věci záměru památníku </w:t>
      </w:r>
      <w:r>
        <w:rPr>
          <w:rFonts w:cs="Calibri"/>
          <w:color w:val="000000"/>
        </w:rPr>
        <w:t>požádán</w:t>
      </w:r>
      <w:r w:rsidR="00EA180F">
        <w:rPr>
          <w:rFonts w:cs="Calibri"/>
          <w:color w:val="000000"/>
        </w:rPr>
        <w:t>o</w:t>
      </w:r>
      <w:r w:rsidR="006F1492">
        <w:rPr>
          <w:rFonts w:cs="Calibri"/>
          <w:color w:val="000000"/>
        </w:rPr>
        <w:t xml:space="preserve"> </w:t>
      </w:r>
      <w:r>
        <w:rPr>
          <w:rFonts w:cs="Calibri"/>
          <w:color w:val="000000"/>
        </w:rPr>
        <w:t>v červnu 2023 o konzultační vyjádření</w:t>
      </w:r>
      <w:r w:rsidR="00EA180F">
        <w:rPr>
          <w:rFonts w:cs="Calibri"/>
          <w:szCs w:val="22"/>
        </w:rPr>
        <w:t xml:space="preserve">, ve kterém se NPÚ vyjadřoval k záměru instalace památníku </w:t>
      </w:r>
      <w:r w:rsidR="00B47D3C">
        <w:rPr>
          <w:rFonts w:cs="Calibri"/>
          <w:szCs w:val="22"/>
        </w:rPr>
        <w:t xml:space="preserve">do blízkosti Mlýnské brány, </w:t>
      </w:r>
      <w:r w:rsidR="00EA180F">
        <w:rPr>
          <w:rFonts w:cs="Calibri"/>
          <w:szCs w:val="22"/>
        </w:rPr>
        <w:t xml:space="preserve">do </w:t>
      </w:r>
      <w:proofErr w:type="spellStart"/>
      <w:r w:rsidR="00EA180F">
        <w:rPr>
          <w:rFonts w:cs="Calibri"/>
          <w:szCs w:val="22"/>
        </w:rPr>
        <w:t>předprostoru</w:t>
      </w:r>
      <w:proofErr w:type="spellEnd"/>
      <w:r w:rsidR="00A20C71">
        <w:rPr>
          <w:rFonts w:cs="Calibri"/>
          <w:szCs w:val="22"/>
        </w:rPr>
        <w:t xml:space="preserve"> Arcibiskupského </w:t>
      </w:r>
      <w:r w:rsidR="00EA180F">
        <w:rPr>
          <w:rFonts w:cs="Calibri"/>
          <w:szCs w:val="22"/>
        </w:rPr>
        <w:t>zámku v Kroměříži.</w:t>
      </w:r>
      <w:r w:rsidR="00A20C71">
        <w:rPr>
          <w:rFonts w:cs="Calibri"/>
          <w:szCs w:val="22"/>
        </w:rPr>
        <w:t xml:space="preserve"> </w:t>
      </w:r>
      <w:r w:rsidR="00B47D3C">
        <w:rPr>
          <w:rFonts w:cs="Calibri"/>
          <w:szCs w:val="22"/>
        </w:rPr>
        <w:t>Přílohou žádosti byla stu</w:t>
      </w:r>
      <w:r w:rsidR="00A20C71">
        <w:rPr>
          <w:rFonts w:cs="Calibri"/>
          <w:szCs w:val="22"/>
        </w:rPr>
        <w:t xml:space="preserve">die od autora díla z roku 2020. </w:t>
      </w:r>
      <w:r w:rsidR="00EA180F">
        <w:rPr>
          <w:rFonts w:cs="Calibri"/>
          <w:szCs w:val="22"/>
        </w:rPr>
        <w:t xml:space="preserve">V konzultačním vyjádření NPÚ uvedl tři zásadní připomínky </w:t>
      </w:r>
      <w:r w:rsidR="00C563C1">
        <w:rPr>
          <w:rFonts w:cs="Calibri"/>
          <w:szCs w:val="22"/>
        </w:rPr>
        <w:t xml:space="preserve">k záměru </w:t>
      </w:r>
      <w:r w:rsidR="00EA180F">
        <w:rPr>
          <w:rFonts w:cs="Calibri"/>
          <w:szCs w:val="22"/>
        </w:rPr>
        <w:t xml:space="preserve">– </w:t>
      </w:r>
      <w:r w:rsidR="00A20C71">
        <w:rPr>
          <w:rFonts w:cs="Calibri"/>
          <w:szCs w:val="22"/>
        </w:rPr>
        <w:t>poukázal</w:t>
      </w:r>
      <w:r w:rsidR="00C6484C" w:rsidRPr="00C6484C">
        <w:rPr>
          <w:rFonts w:cs="Calibri"/>
          <w:szCs w:val="22"/>
        </w:rPr>
        <w:t xml:space="preserve"> na netransparentní přípravu záměru, zejména na absenci veřejné diskuse v odborné a výtvarné rovině přípravy záměru, </w:t>
      </w:r>
      <w:r w:rsidR="00B01D60" w:rsidRPr="00B01D60">
        <w:rPr>
          <w:rFonts w:cs="Calibri"/>
          <w:szCs w:val="22"/>
        </w:rPr>
        <w:t>na problematičnost vlastní předložené uměleck</w:t>
      </w:r>
      <w:r w:rsidR="00B01D60">
        <w:rPr>
          <w:rFonts w:cs="Calibri"/>
          <w:szCs w:val="22"/>
        </w:rPr>
        <w:t>é ideje, ale především poukázal</w:t>
      </w:r>
      <w:r w:rsidR="00B01D60" w:rsidRPr="00B01D60">
        <w:rPr>
          <w:rFonts w:cs="Calibri"/>
          <w:szCs w:val="22"/>
        </w:rPr>
        <w:t xml:space="preserve"> na specifičnost lokality</w:t>
      </w:r>
      <w:r w:rsidR="00B01D60">
        <w:rPr>
          <w:rFonts w:cs="Calibri"/>
          <w:szCs w:val="22"/>
        </w:rPr>
        <w:t xml:space="preserve">, </w:t>
      </w:r>
      <w:r w:rsidR="00B01D60" w:rsidRPr="00B01D60">
        <w:rPr>
          <w:rFonts w:cs="Calibri"/>
          <w:szCs w:val="22"/>
        </w:rPr>
        <w:t xml:space="preserve">která je nanejvýš citlivým prostorem historického jádra města Kroměříž, které je pro své hodnoty prohlášeno za městskou památkovou rezervaci, která obklopuje památku </w:t>
      </w:r>
      <w:r w:rsidR="00B01D60">
        <w:rPr>
          <w:rFonts w:cs="Calibri"/>
          <w:szCs w:val="22"/>
        </w:rPr>
        <w:t>s</w:t>
      </w:r>
      <w:r w:rsidR="00B01D60" w:rsidRPr="00B01D60">
        <w:rPr>
          <w:rFonts w:cs="Calibri"/>
          <w:szCs w:val="22"/>
        </w:rPr>
        <w:t>větového dědictví UNESCO – Arcibiskupský zámek.</w:t>
      </w:r>
    </w:p>
    <w:p w:rsidR="00B01D60" w:rsidRDefault="00B01D60" w:rsidP="00EA180F">
      <w:pPr>
        <w:jc w:val="both"/>
        <w:rPr>
          <w:rFonts w:cs="Calibri"/>
          <w:szCs w:val="22"/>
        </w:rPr>
      </w:pPr>
    </w:p>
    <w:p w:rsidR="00C6484C" w:rsidRDefault="00C6484C" w:rsidP="00B01D60">
      <w:pPr>
        <w:jc w:val="both"/>
        <w:rPr>
          <w:rFonts w:cs="Calibri"/>
          <w:szCs w:val="22"/>
        </w:rPr>
      </w:pPr>
      <w:r w:rsidRPr="00C6484C">
        <w:rPr>
          <w:rFonts w:cs="Calibri"/>
          <w:szCs w:val="22"/>
        </w:rPr>
        <w:t xml:space="preserve">V březnu 2024 proběhlo na téma památníku osobní jednání mezi zástupci vedení </w:t>
      </w:r>
      <w:r>
        <w:rPr>
          <w:rFonts w:cs="Calibri"/>
          <w:szCs w:val="22"/>
        </w:rPr>
        <w:t>m</w:t>
      </w:r>
      <w:r w:rsidRPr="00C6484C">
        <w:rPr>
          <w:rFonts w:cs="Calibri"/>
          <w:szCs w:val="22"/>
        </w:rPr>
        <w:t xml:space="preserve">ěsta Kroměříž a státní památkové péče. Na jednání zazněla informace, že </w:t>
      </w:r>
      <w:r>
        <w:rPr>
          <w:rFonts w:cs="Calibri"/>
          <w:szCs w:val="22"/>
        </w:rPr>
        <w:t>m</w:t>
      </w:r>
      <w:r w:rsidRPr="00C6484C">
        <w:rPr>
          <w:rFonts w:cs="Calibri"/>
          <w:szCs w:val="22"/>
        </w:rPr>
        <w:t xml:space="preserve">ěsto Kroměříž již uzavřelo s autorem díla platnou smlouvu a o jeho realizaci je tak ze strany investora rozhodnuto. </w:t>
      </w:r>
      <w:r w:rsidR="00B01D60">
        <w:rPr>
          <w:rFonts w:cs="Calibri"/>
          <w:szCs w:val="22"/>
        </w:rPr>
        <w:t>Fakticky</w:t>
      </w:r>
      <w:r w:rsidRPr="00C6484C">
        <w:rPr>
          <w:rFonts w:cs="Calibri"/>
          <w:szCs w:val="22"/>
        </w:rPr>
        <w:t xml:space="preserve"> bylo možné diskutovat pouze o zvolené lokalitě. Zástupci odborné organizace NPÚ</w:t>
      </w:r>
      <w:r>
        <w:rPr>
          <w:rFonts w:cs="Calibri"/>
          <w:szCs w:val="22"/>
        </w:rPr>
        <w:t>,</w:t>
      </w:r>
      <w:r w:rsidRPr="00C6484C">
        <w:rPr>
          <w:rFonts w:cs="Calibri"/>
          <w:szCs w:val="22"/>
        </w:rPr>
        <w:t xml:space="preserve"> ÚOP v Kroměříži proto vyzvali investora ke zpracování objektivní a nezávislé studie, </w:t>
      </w:r>
      <w:r w:rsidR="00B01D60">
        <w:rPr>
          <w:rFonts w:cs="Calibri"/>
          <w:szCs w:val="22"/>
        </w:rPr>
        <w:t xml:space="preserve">která </w:t>
      </w:r>
      <w:r w:rsidR="00B01D60" w:rsidRPr="00B01D60">
        <w:rPr>
          <w:rFonts w:cs="Calibri"/>
          <w:szCs w:val="22"/>
        </w:rPr>
        <w:t>by výtvarné dílo zas</w:t>
      </w:r>
      <w:r w:rsidR="00B01D60">
        <w:rPr>
          <w:rFonts w:cs="Calibri"/>
          <w:szCs w:val="22"/>
        </w:rPr>
        <w:t xml:space="preserve">adila do reálného kontextu </w:t>
      </w:r>
      <w:proofErr w:type="spellStart"/>
      <w:r w:rsidR="00B01D60">
        <w:rPr>
          <w:rFonts w:cs="Calibri"/>
          <w:szCs w:val="22"/>
        </w:rPr>
        <w:t>před</w:t>
      </w:r>
      <w:r w:rsidR="00B01D60" w:rsidRPr="00B01D60">
        <w:rPr>
          <w:rFonts w:cs="Calibri"/>
          <w:szCs w:val="22"/>
        </w:rPr>
        <w:t>prostoru</w:t>
      </w:r>
      <w:proofErr w:type="spellEnd"/>
      <w:r w:rsidR="00B01D60" w:rsidRPr="00B01D60">
        <w:rPr>
          <w:rFonts w:cs="Calibri"/>
          <w:szCs w:val="22"/>
        </w:rPr>
        <w:t xml:space="preserve"> Arcibiskupského zámku a tím osvětlila skutečný dopad v rámci navrhované lokality, která byla vybrána bez účasti architekta-urbanisty, a také především prověřila další jiné lokality na území města.</w:t>
      </w:r>
    </w:p>
    <w:p w:rsidR="00B01D60" w:rsidRPr="00B01D60" w:rsidRDefault="00B01D60" w:rsidP="00B01D60">
      <w:pPr>
        <w:jc w:val="both"/>
        <w:rPr>
          <w:rFonts w:cs="Calibri"/>
          <w:szCs w:val="22"/>
        </w:rPr>
      </w:pPr>
    </w:p>
    <w:p w:rsidR="00C6484C" w:rsidRDefault="00C6484C" w:rsidP="00C27C1E">
      <w:pPr>
        <w:jc w:val="both"/>
      </w:pPr>
      <w:r w:rsidRPr="00C6484C">
        <w:rPr>
          <w:rFonts w:cs="Calibri"/>
          <w:szCs w:val="22"/>
        </w:rPr>
        <w:t>Požadovaná studi</w:t>
      </w:r>
      <w:r>
        <w:rPr>
          <w:rFonts w:cs="Calibri"/>
          <w:szCs w:val="22"/>
        </w:rPr>
        <w:t xml:space="preserve">e byla NPÚ předložena s žádostí </w:t>
      </w:r>
      <w:r w:rsidR="00C563C1">
        <w:rPr>
          <w:rFonts w:cs="Calibri"/>
          <w:szCs w:val="22"/>
        </w:rPr>
        <w:t xml:space="preserve">o vyjádření </w:t>
      </w:r>
      <w:r w:rsidR="00A34D64">
        <w:rPr>
          <w:rFonts w:cs="Calibri"/>
          <w:szCs w:val="22"/>
        </w:rPr>
        <w:t xml:space="preserve">letos </w:t>
      </w:r>
      <w:r w:rsidR="00C563C1">
        <w:rPr>
          <w:rFonts w:cs="Calibri"/>
          <w:szCs w:val="22"/>
        </w:rPr>
        <w:t>v</w:t>
      </w:r>
      <w:r w:rsidR="00A34D64">
        <w:rPr>
          <w:rFonts w:cs="Calibri"/>
          <w:szCs w:val="22"/>
        </w:rPr>
        <w:t> </w:t>
      </w:r>
      <w:r w:rsidR="00C563C1">
        <w:rPr>
          <w:rFonts w:cs="Calibri"/>
          <w:szCs w:val="22"/>
        </w:rPr>
        <w:t>dubnu</w:t>
      </w:r>
      <w:r w:rsidR="00A34D64">
        <w:rPr>
          <w:rFonts w:cs="Calibri"/>
          <w:szCs w:val="22"/>
        </w:rPr>
        <w:t xml:space="preserve">. </w:t>
      </w:r>
      <w:r w:rsidR="00A34D64">
        <w:t xml:space="preserve">V rámci dubnového </w:t>
      </w:r>
      <w:r w:rsidR="00A34D64" w:rsidRPr="00C6484C">
        <w:t xml:space="preserve">písemného </w:t>
      </w:r>
      <w:r w:rsidR="00A34D64">
        <w:t>vyjádření dle § 14 zákona č. 20/1987 Sb., o státní pamá</w:t>
      </w:r>
      <w:r>
        <w:t>tkové péči, se NPÚ vyjadřoval k </w:t>
      </w:r>
      <w:r w:rsidR="00A34D64">
        <w:t>místu instalace památníku</w:t>
      </w:r>
      <w:r>
        <w:t>, nikoli k jeho podobě, o které již bylo ze strany vedení města podpisem smlouvy de facto rozhodnuto.</w:t>
      </w:r>
    </w:p>
    <w:p w:rsidR="00C6484C" w:rsidRDefault="00C6484C" w:rsidP="00C27C1E">
      <w:pPr>
        <w:jc w:val="both"/>
      </w:pPr>
    </w:p>
    <w:p w:rsidR="00B01D60" w:rsidRDefault="00B47D3C" w:rsidP="00C6484C">
      <w:pPr>
        <w:jc w:val="both"/>
      </w:pPr>
      <w:r>
        <w:t xml:space="preserve">Předložená studie </w:t>
      </w:r>
      <w:r w:rsidR="00F50175">
        <w:t>obsahovala</w:t>
      </w:r>
      <w:r>
        <w:t xml:space="preserve"> pět </w:t>
      </w:r>
      <w:r w:rsidR="00F50175">
        <w:t>variant umístění</w:t>
      </w:r>
      <w:r>
        <w:t>, z toho tři v prostoru Sněmovního náměstí</w:t>
      </w:r>
      <w:r w:rsidR="00B01D60">
        <w:t>, tedy v </w:t>
      </w:r>
      <w:proofErr w:type="spellStart"/>
      <w:r w:rsidR="00B01D60">
        <w:t>předprostoru</w:t>
      </w:r>
      <w:proofErr w:type="spellEnd"/>
      <w:r w:rsidR="00B01D60">
        <w:t xml:space="preserve"> zámku,</w:t>
      </w:r>
      <w:r>
        <w:t xml:space="preserve"> a dvě mimo Sněmovní </w:t>
      </w:r>
      <w:r w:rsidR="00B01D60" w:rsidRPr="00B01D60">
        <w:t>náměstí na okrajích městské památkové rezervace Kroměříž.</w:t>
      </w:r>
      <w:r w:rsidR="00B01D60">
        <w:t xml:space="preserve"> </w:t>
      </w:r>
      <w:r w:rsidRPr="00C6484C">
        <w:t xml:space="preserve">V grafickém </w:t>
      </w:r>
      <w:r w:rsidR="00B01D60">
        <w:t>provedení</w:t>
      </w:r>
      <w:r w:rsidRPr="00C6484C">
        <w:t xml:space="preserve"> byly podrobněji </w:t>
      </w:r>
      <w:r w:rsidR="00B01D60">
        <w:t>zpracovány</w:t>
      </w:r>
      <w:r w:rsidRPr="00C6484C">
        <w:t xml:space="preserve"> pouze </w:t>
      </w:r>
      <w:r w:rsidR="00F50175" w:rsidRPr="00C6484C">
        <w:t xml:space="preserve">tři pozice, </w:t>
      </w:r>
      <w:r w:rsidR="00B01D60" w:rsidRPr="00B01D60">
        <w:t xml:space="preserve">všechny v </w:t>
      </w:r>
      <w:proofErr w:type="spellStart"/>
      <w:r w:rsidR="00B01D60" w:rsidRPr="00B01D60">
        <w:t>předprostoru</w:t>
      </w:r>
      <w:proofErr w:type="spellEnd"/>
      <w:r w:rsidR="00B01D60" w:rsidRPr="00B01D60">
        <w:t xml:space="preserve"> zámku. Jednalo se o původně navrženou pozici a o dvě pozice, ve kterých se výtvarné dílo dostalo přímo do be</w:t>
      </w:r>
      <w:r w:rsidR="00B01D60">
        <w:t xml:space="preserve">zprostředního kontaktu s památkou </w:t>
      </w:r>
      <w:r w:rsidR="00B01D60" w:rsidRPr="00B01D60">
        <w:t xml:space="preserve">UNESCO. Zbylé dvě pozice na okraji městské památkové </w:t>
      </w:r>
      <w:r w:rsidR="00B01D60">
        <w:lastRenderedPageBreak/>
        <w:t xml:space="preserve">rezervace Kroměříž </w:t>
      </w:r>
      <w:r w:rsidR="00B01D60" w:rsidRPr="00B01D60">
        <w:t>byly ve fázi zpracování studie zástupci města odmítnuty, proto nebyly dle sdělení a</w:t>
      </w:r>
      <w:r w:rsidR="00B01D60">
        <w:t>utora studie podrobněji řešeny.</w:t>
      </w:r>
    </w:p>
    <w:p w:rsidR="00B01D60" w:rsidRDefault="00B01D60" w:rsidP="00C6484C">
      <w:pPr>
        <w:jc w:val="both"/>
      </w:pPr>
    </w:p>
    <w:p w:rsidR="00B01D60" w:rsidRDefault="00B01D60" w:rsidP="00C6484C">
      <w:pPr>
        <w:jc w:val="both"/>
      </w:pPr>
      <w:r w:rsidRPr="00B01D60">
        <w:t>Studie k realizaci uměleckého díla doporučila pozici u Mlýnské brány, tj. původně navrhované místo dle studie z roku 2020, k němuž NPÚ v konzultačním vyjádření popsal konflikt s památkou UNESCO a tedy s nejcitlivějším prostorem městské památkové rezervace Kroměříž. NPÚ konstat</w:t>
      </w:r>
      <w:r>
        <w:t>uje</w:t>
      </w:r>
      <w:r w:rsidRPr="00B01D60">
        <w:t xml:space="preserve">, že z obsahu a zadání studie je zřejmé, že se zaměřila pouze na potvrzení a obhajobu původně navrhovaného místa, hledala pouze lokality v </w:t>
      </w:r>
      <w:proofErr w:type="spellStart"/>
      <w:r w:rsidRPr="00B01D60">
        <w:t>předprostoru</w:t>
      </w:r>
      <w:proofErr w:type="spellEnd"/>
      <w:r w:rsidRPr="00B01D60">
        <w:t xml:space="preserve"> zámku a odmítla na základě stanoviska zástupců města Kroměříž jiná řešení, s nimiž by byla spojena větší časová nebo finanční náročnost. Studie neřešila danou problematiku v širším kontextu tématu ani místa, jak bylo požadováno. Studií doporučená pozice byla ze strany NPÚ vyhodnocena jako nejméně konfliktní nikoli ideální.</w:t>
      </w:r>
    </w:p>
    <w:p w:rsidR="00B01D60" w:rsidRDefault="00B01D60" w:rsidP="00C6484C">
      <w:pPr>
        <w:jc w:val="both"/>
      </w:pPr>
    </w:p>
    <w:p w:rsidR="00285E2F" w:rsidRDefault="00285E2F" w:rsidP="00285E2F">
      <w:pPr>
        <w:jc w:val="both"/>
      </w:pPr>
      <w:r>
        <w:t>Je nezbytné zdůraznit, že NPÚ nemá výhrady k záměru připomenut</w:t>
      </w:r>
      <w:r>
        <w:t xml:space="preserve">í osobnosti biskupa Karla II. z </w:t>
      </w:r>
      <w:proofErr w:type="spellStart"/>
      <w:r>
        <w:t>Lichtensteinu-Castelcorna</w:t>
      </w:r>
      <w:proofErr w:type="spellEnd"/>
      <w:r>
        <w:t xml:space="preserve">, zejména  jeho stavebního díla, které se výrazně propsalo do podoby města Kroměříž. Domníváme se však, že historické město Kroměříž i osobnost Karla II. z </w:t>
      </w:r>
      <w:proofErr w:type="spellStart"/>
      <w:r>
        <w:t>Lichtensteinu-Castelcorna</w:t>
      </w:r>
      <w:proofErr w:type="spellEnd"/>
      <w:r>
        <w:t xml:space="preserve"> si zaslouží důstojný a koncepční přístup, odborně kvalitní péči. Na příkladu města Litomyšl můžeme obecně poukázat na dlouhodobě koncepční přístup současných vstupů do historického jádra a případně i na příkladu města Brna na koncepci věnující se transparentním uměleckým soutěžím a diskuzím, které předcházející umísťování uměleckých děl na veřejná prostranství historického jádra města. Takové přístupy postrádá aktuální záměr vybudování památníku.</w:t>
      </w:r>
    </w:p>
    <w:p w:rsidR="00285E2F" w:rsidRDefault="00285E2F" w:rsidP="00285E2F">
      <w:pPr>
        <w:jc w:val="both"/>
      </w:pPr>
    </w:p>
    <w:p w:rsidR="00285E2F" w:rsidRDefault="00285E2F" w:rsidP="00285E2F">
      <w:pPr>
        <w:jc w:val="both"/>
      </w:pPr>
      <w:r>
        <w:t>NPÚ ve svém finálním stanovisku vzal záměr osazení uměleckého díla na vědomí s tím, že umístění díla není nevratným krokem a na stávající podobu Sněmovního náměstí nebude mít zásadně negativní dopad. Realizace aktuálního památníku by měla být ovšem v budoucnu řešena v rámci nové koncepce jiných veřejných prostranství tak, aby se do trvalé paměti místa historického jádra města Kroměříž propsaly kvalitní záměry, které nebudou poškozovat historického jádro. Také by pro budoucí záměry měly být zpracovány koncepční dokumenty k rozvoji městských prostor soudobými vstupy, tak aby byly včasně a efektivně korigovány.</w:t>
      </w:r>
    </w:p>
    <w:p w:rsidR="00D85216" w:rsidRDefault="00D85216" w:rsidP="00D85216">
      <w:pPr>
        <w:jc w:val="both"/>
        <w:rPr>
          <w:rFonts w:cs="Calibri"/>
          <w:b/>
          <w:color w:val="000000"/>
        </w:rPr>
      </w:pPr>
      <w:bookmarkStart w:id="0" w:name="_GoBack"/>
      <w:bookmarkEnd w:id="0"/>
    </w:p>
    <w:p w:rsidR="00CC7419" w:rsidRDefault="00CC7419" w:rsidP="00B34E7F">
      <w:pPr>
        <w:pBdr>
          <w:bottom w:val="single" w:sz="4" w:space="1" w:color="auto"/>
        </w:pBdr>
        <w:jc w:val="both"/>
        <w:rPr>
          <w:szCs w:val="22"/>
        </w:rPr>
      </w:pPr>
    </w:p>
    <w:p w:rsidR="00B34E7F" w:rsidRPr="00261AAC" w:rsidRDefault="00B34E7F" w:rsidP="00CC7419">
      <w:pPr>
        <w:jc w:val="both"/>
        <w:rPr>
          <w:b/>
          <w:szCs w:val="22"/>
        </w:rPr>
      </w:pPr>
    </w:p>
    <w:p w:rsidR="00CC7419" w:rsidRPr="00261AAC" w:rsidRDefault="00CC7419" w:rsidP="00CC7419">
      <w:pPr>
        <w:jc w:val="both"/>
        <w:rPr>
          <w:szCs w:val="22"/>
        </w:rPr>
      </w:pPr>
      <w:r w:rsidRPr="00261AAC">
        <w:rPr>
          <w:szCs w:val="22"/>
        </w:rPr>
        <w:t>Kontakt</w:t>
      </w:r>
      <w:r w:rsidR="00B34E7F" w:rsidRPr="00261AAC">
        <w:rPr>
          <w:szCs w:val="22"/>
        </w:rPr>
        <w:t>:</w:t>
      </w:r>
    </w:p>
    <w:p w:rsidR="00B34E7F" w:rsidRPr="00F06BBB" w:rsidRDefault="00B34E7F" w:rsidP="00B34E7F">
      <w:pPr>
        <w:rPr>
          <w:rFonts w:asciiTheme="minorHAnsi" w:hAnsiTheme="minorHAnsi" w:cstheme="minorHAnsi"/>
          <w:szCs w:val="22"/>
        </w:rPr>
      </w:pPr>
      <w:r w:rsidRPr="00261AAC">
        <w:rPr>
          <w:rFonts w:asciiTheme="minorHAnsi" w:hAnsiTheme="minorHAnsi" w:cstheme="minorHAnsi"/>
          <w:szCs w:val="22"/>
        </w:rPr>
        <w:t xml:space="preserve">Mgr. Petra Zelinková, pracovnice </w:t>
      </w:r>
      <w:r w:rsidR="002176A4" w:rsidRPr="00261AAC">
        <w:rPr>
          <w:rFonts w:asciiTheme="minorHAnsi" w:hAnsiTheme="minorHAnsi" w:cstheme="minorHAnsi"/>
          <w:szCs w:val="22"/>
        </w:rPr>
        <w:t>PR</w:t>
      </w:r>
      <w:r w:rsidR="006F6017">
        <w:rPr>
          <w:rFonts w:asciiTheme="minorHAnsi" w:hAnsiTheme="minorHAnsi" w:cstheme="minorHAnsi"/>
          <w:szCs w:val="22"/>
        </w:rPr>
        <w:t xml:space="preserve">, </w:t>
      </w:r>
      <w:r w:rsidR="002176A4" w:rsidRPr="00261AAC">
        <w:rPr>
          <w:rFonts w:asciiTheme="minorHAnsi" w:hAnsiTheme="minorHAnsi" w:cstheme="minorHAnsi"/>
          <w:szCs w:val="22"/>
        </w:rPr>
        <w:t xml:space="preserve">mobil: +420 </w:t>
      </w:r>
      <w:r w:rsidRPr="00261AAC">
        <w:rPr>
          <w:rFonts w:asciiTheme="minorHAnsi" w:hAnsiTheme="minorHAnsi" w:cstheme="minorHAnsi"/>
          <w:szCs w:val="22"/>
        </w:rPr>
        <w:t>775 442</w:t>
      </w:r>
      <w:r w:rsidR="006F6017">
        <w:rPr>
          <w:rFonts w:asciiTheme="minorHAnsi" w:hAnsiTheme="minorHAnsi" w:cstheme="minorHAnsi"/>
          <w:szCs w:val="22"/>
        </w:rPr>
        <w:t> </w:t>
      </w:r>
      <w:r w:rsidRPr="00261AAC">
        <w:rPr>
          <w:rFonts w:asciiTheme="minorHAnsi" w:hAnsiTheme="minorHAnsi" w:cstheme="minorHAnsi"/>
          <w:szCs w:val="22"/>
        </w:rPr>
        <w:t>269</w:t>
      </w:r>
      <w:r w:rsidR="006F6017">
        <w:rPr>
          <w:rFonts w:asciiTheme="minorHAnsi" w:hAnsiTheme="minorHAnsi" w:cstheme="minorHAnsi"/>
          <w:szCs w:val="22"/>
        </w:rPr>
        <w:t xml:space="preserve">, </w:t>
      </w:r>
      <w:r w:rsidRPr="00261AAC">
        <w:rPr>
          <w:rFonts w:asciiTheme="minorHAnsi" w:hAnsiTheme="minorHAnsi" w:cstheme="minorHAnsi"/>
          <w:szCs w:val="22"/>
        </w:rPr>
        <w:t>e-mail: zelinkova.petra</w:t>
      </w:r>
      <w:r w:rsidR="006F6017">
        <w:rPr>
          <w:rFonts w:asciiTheme="minorHAnsi" w:hAnsiTheme="minorHAnsi" w:cstheme="minorHAnsi"/>
          <w:szCs w:val="22"/>
        </w:rPr>
        <w:t>@npu.cz</w:t>
      </w:r>
    </w:p>
    <w:p w:rsidR="00CC7419" w:rsidRPr="00261AAC" w:rsidRDefault="00CC7419" w:rsidP="00CC7419">
      <w:pPr>
        <w:pBdr>
          <w:bottom w:val="single" w:sz="4" w:space="1" w:color="auto"/>
        </w:pBdr>
        <w:jc w:val="both"/>
        <w:rPr>
          <w:szCs w:val="22"/>
        </w:rPr>
      </w:pPr>
    </w:p>
    <w:p w:rsidR="003E2049" w:rsidRPr="00261AAC" w:rsidRDefault="003E2049" w:rsidP="003F763A">
      <w:pPr>
        <w:jc w:val="both"/>
        <w:rPr>
          <w:sz w:val="20"/>
          <w:szCs w:val="20"/>
        </w:rPr>
      </w:pPr>
    </w:p>
    <w:p w:rsidR="001176AD" w:rsidRPr="0014184C" w:rsidRDefault="00987D36" w:rsidP="0014184C">
      <w:pPr>
        <w:jc w:val="both"/>
        <w:rPr>
          <w:rFonts w:cs="Calibri"/>
          <w:i/>
          <w:sz w:val="20"/>
          <w:szCs w:val="20"/>
        </w:rPr>
      </w:pPr>
      <w:r w:rsidRPr="0014184C">
        <w:rPr>
          <w:rFonts w:cs="Arial"/>
          <w:b/>
          <w:bCs/>
          <w:i/>
          <w:sz w:val="20"/>
          <w:szCs w:val="20"/>
        </w:rPr>
        <w:t xml:space="preserve">Národní památkový ústav, územní odborné pracoviště v Kroměříži </w:t>
      </w:r>
      <w:r w:rsidRPr="0014184C">
        <w:rPr>
          <w:rFonts w:cs="Arial"/>
          <w:bCs/>
          <w:i/>
          <w:sz w:val="20"/>
          <w:szCs w:val="20"/>
        </w:rPr>
        <w:t>je jedním ze čtrnácti krajských pracovišť NPÚ.</w:t>
      </w:r>
      <w:r w:rsidRPr="0014184C">
        <w:rPr>
          <w:rFonts w:cs="Arial"/>
          <w:b/>
          <w:bCs/>
          <w:i/>
          <w:sz w:val="20"/>
          <w:szCs w:val="20"/>
        </w:rPr>
        <w:t xml:space="preserve"> </w:t>
      </w:r>
      <w:r w:rsidRPr="0014184C">
        <w:rPr>
          <w:rFonts w:cs="Arial"/>
          <w:bCs/>
          <w:i/>
          <w:sz w:val="20"/>
          <w:szCs w:val="20"/>
        </w:rPr>
        <w:t xml:space="preserve">Pracoviště vzniklo delimitací z územního odborného pracoviště v Brně k 6. únoru 2006. </w:t>
      </w:r>
      <w:r w:rsidRPr="0014184C">
        <w:rPr>
          <w:rFonts w:cs="Arial"/>
          <w:i/>
          <w:sz w:val="20"/>
          <w:szCs w:val="20"/>
        </w:rPr>
        <w:t>Poskytuje odbornou a metodickou pomoc vlastníkům a správcům památek ve Zlínském kraji. Odborné pracoviště zajišťuje úkoly státní památkové péče v plném rozsahu daném zákonem a jako odborná a vědecko-výzkumná organizace se zabývá také ochranou, poznáváním, dokumentací a prezentací památkového fondu na území Zlínského kraje. Zpracovává návrhy na prohlašování věcí či objektů za kulturní památky a podílí se následně na jejich evidenci. Spravuje dokumentační sbírky plánů, fotografií a dalších odborných podkladů ke kulturním památkám</w:t>
      </w:r>
      <w:r w:rsidR="00DE77D8">
        <w:rPr>
          <w:rFonts w:cs="Arial"/>
          <w:i/>
          <w:sz w:val="20"/>
          <w:szCs w:val="20"/>
        </w:rPr>
        <w:t>, vydává odborné publikace</w:t>
      </w:r>
      <w:r w:rsidR="00A20C71">
        <w:rPr>
          <w:rFonts w:cs="Arial"/>
          <w:i/>
          <w:sz w:val="20"/>
          <w:szCs w:val="20"/>
        </w:rPr>
        <w:t xml:space="preserve"> a publikuje v odborných periodikách</w:t>
      </w:r>
      <w:r w:rsidR="00DE77D8">
        <w:rPr>
          <w:rFonts w:cs="Arial"/>
          <w:i/>
          <w:sz w:val="20"/>
          <w:szCs w:val="20"/>
        </w:rPr>
        <w:t xml:space="preserve">. </w:t>
      </w:r>
      <w:r w:rsidR="0014184C">
        <w:rPr>
          <w:rFonts w:cs="Calibri"/>
          <w:i/>
          <w:sz w:val="20"/>
          <w:szCs w:val="20"/>
        </w:rPr>
        <w:t>Na území Zlínského kraje</w:t>
      </w:r>
      <w:r w:rsidR="001176AD" w:rsidRPr="0014184C">
        <w:rPr>
          <w:rFonts w:cs="Calibri"/>
          <w:i/>
          <w:sz w:val="20"/>
          <w:szCs w:val="20"/>
        </w:rPr>
        <w:t xml:space="preserve"> je</w:t>
      </w:r>
      <w:r w:rsidR="00965F17">
        <w:rPr>
          <w:rFonts w:cs="Calibri"/>
          <w:i/>
          <w:sz w:val="20"/>
          <w:szCs w:val="20"/>
        </w:rPr>
        <w:t xml:space="preserve"> k 31. prosinci 20</w:t>
      </w:r>
      <w:r w:rsidR="004126C2">
        <w:rPr>
          <w:rFonts w:cs="Calibri"/>
          <w:i/>
          <w:sz w:val="20"/>
          <w:szCs w:val="20"/>
        </w:rPr>
        <w:t xml:space="preserve">23 </w:t>
      </w:r>
      <w:r w:rsidR="001176AD" w:rsidRPr="0014184C">
        <w:rPr>
          <w:rFonts w:cs="Calibri"/>
          <w:i/>
          <w:sz w:val="20"/>
          <w:szCs w:val="20"/>
        </w:rPr>
        <w:t xml:space="preserve">celkem 1 </w:t>
      </w:r>
      <w:r w:rsidR="004126C2">
        <w:rPr>
          <w:rFonts w:cs="Calibri"/>
          <w:i/>
          <w:sz w:val="20"/>
          <w:szCs w:val="20"/>
        </w:rPr>
        <w:t>333</w:t>
      </w:r>
      <w:r w:rsidR="001176AD" w:rsidRPr="0014184C">
        <w:rPr>
          <w:rFonts w:cs="Calibri"/>
          <w:i/>
          <w:sz w:val="20"/>
          <w:szCs w:val="20"/>
        </w:rPr>
        <w:t xml:space="preserve"> </w:t>
      </w:r>
      <w:r w:rsidR="004126C2">
        <w:rPr>
          <w:rFonts w:cs="Calibri"/>
          <w:i/>
          <w:sz w:val="20"/>
          <w:szCs w:val="20"/>
        </w:rPr>
        <w:t xml:space="preserve">nemovitých </w:t>
      </w:r>
      <w:r w:rsidR="001176AD" w:rsidRPr="0014184C">
        <w:rPr>
          <w:rFonts w:cs="Calibri"/>
          <w:i/>
          <w:sz w:val="20"/>
          <w:szCs w:val="20"/>
        </w:rPr>
        <w:t xml:space="preserve">kulturních památek, z toho </w:t>
      </w:r>
      <w:r w:rsidR="004126C2">
        <w:rPr>
          <w:rFonts w:cs="Calibri"/>
          <w:i/>
          <w:sz w:val="20"/>
          <w:szCs w:val="20"/>
        </w:rPr>
        <w:t>16</w:t>
      </w:r>
      <w:r w:rsidR="001176AD" w:rsidRPr="0014184C">
        <w:rPr>
          <w:rFonts w:cs="Calibri"/>
          <w:i/>
          <w:sz w:val="20"/>
          <w:szCs w:val="20"/>
        </w:rPr>
        <w:t xml:space="preserve"> národních kulturních památek, 1 městská památková rezervace, 3 vesnické památkové rezervace, 14 městských památkových zón, 3 vesnické památkové zóny, nachází se zde i památka UNESCO – Arcibiskupský zámek a zahrady v Kroměříži.</w:t>
      </w:r>
      <w:r w:rsidR="00DE77D8">
        <w:rPr>
          <w:rFonts w:cs="Calibri"/>
          <w:i/>
          <w:sz w:val="20"/>
          <w:szCs w:val="20"/>
        </w:rPr>
        <w:t xml:space="preserve"> </w:t>
      </w:r>
      <w:r w:rsidRPr="0014184C">
        <w:rPr>
          <w:rFonts w:cs="Calibri"/>
          <w:i/>
          <w:sz w:val="20"/>
          <w:szCs w:val="20"/>
        </w:rPr>
        <w:t xml:space="preserve">Součástí kroměřížského odborného pracoviště NPÚ je od 1. ledna 2015 </w:t>
      </w:r>
      <w:r w:rsidRPr="0014184C">
        <w:rPr>
          <w:rFonts w:cs="Calibri"/>
          <w:b/>
          <w:i/>
          <w:sz w:val="20"/>
          <w:szCs w:val="20"/>
        </w:rPr>
        <w:t>Metodické centrum zahradní kultury v Kroměříži</w:t>
      </w:r>
      <w:r w:rsidRPr="0014184C">
        <w:rPr>
          <w:rFonts w:cs="Calibri"/>
          <w:i/>
          <w:sz w:val="20"/>
          <w:szCs w:val="20"/>
        </w:rPr>
        <w:t>, které funguje jako multioborové centrum pro oblast obnovy a následnou péči o historické zahrady a parky v České republice, nabízí široké portfolio vzdělávacích programů z oblasti zahradní kultury pro laickou i odbornou veřejnost</w:t>
      </w:r>
      <w:r w:rsidR="00DE77D8">
        <w:rPr>
          <w:rFonts w:cs="Calibri"/>
          <w:i/>
          <w:sz w:val="20"/>
          <w:szCs w:val="20"/>
        </w:rPr>
        <w:t xml:space="preserve">. Další </w:t>
      </w:r>
      <w:r w:rsidR="00FB7489" w:rsidRPr="0014184C">
        <w:rPr>
          <w:rFonts w:cs="Calibri"/>
          <w:i/>
          <w:sz w:val="20"/>
          <w:szCs w:val="20"/>
        </w:rPr>
        <w:t xml:space="preserve">informace </w:t>
      </w:r>
      <w:r w:rsidR="00965F17">
        <w:rPr>
          <w:rFonts w:cs="Calibri"/>
          <w:i/>
          <w:sz w:val="20"/>
          <w:szCs w:val="20"/>
        </w:rPr>
        <w:t xml:space="preserve">o kroměřížském odborném pracovišti NPÚ </w:t>
      </w:r>
      <w:r w:rsidR="00FB7489" w:rsidRPr="0014184C">
        <w:rPr>
          <w:rFonts w:cs="Calibri"/>
          <w:i/>
          <w:sz w:val="20"/>
          <w:szCs w:val="20"/>
        </w:rPr>
        <w:t xml:space="preserve">najdete na </w:t>
      </w:r>
      <w:hyperlink r:id="rId8" w:history="1">
        <w:r w:rsidR="0014184C">
          <w:rPr>
            <w:rStyle w:val="Hypertextovodkaz"/>
            <w:rFonts w:cs="Calibri"/>
            <w:i/>
            <w:sz w:val="20"/>
            <w:szCs w:val="20"/>
          </w:rPr>
          <w:t>www.npu.cz</w:t>
        </w:r>
      </w:hyperlink>
      <w:r w:rsidR="00965F17">
        <w:rPr>
          <w:rFonts w:cs="Calibri"/>
          <w:i/>
          <w:sz w:val="20"/>
          <w:szCs w:val="20"/>
        </w:rPr>
        <w:t xml:space="preserve"> a </w:t>
      </w:r>
      <w:proofErr w:type="spellStart"/>
      <w:r w:rsidR="001176AD" w:rsidRPr="0014184C">
        <w:rPr>
          <w:rFonts w:cs="Calibri"/>
          <w:i/>
          <w:sz w:val="20"/>
          <w:szCs w:val="20"/>
        </w:rPr>
        <w:t>Facebooku</w:t>
      </w:r>
      <w:proofErr w:type="spellEnd"/>
      <w:r w:rsidR="001176AD" w:rsidRPr="0014184C">
        <w:rPr>
          <w:rFonts w:cs="Calibri"/>
          <w:i/>
          <w:sz w:val="20"/>
          <w:szCs w:val="20"/>
        </w:rPr>
        <w:t xml:space="preserve"> (</w:t>
      </w:r>
      <w:hyperlink r:id="rId9" w:history="1">
        <w:r w:rsidR="006E7D3D">
          <w:rPr>
            <w:rStyle w:val="Hypertextovodkaz"/>
            <w:rFonts w:cs="Calibri"/>
            <w:sz w:val="20"/>
            <w:szCs w:val="20"/>
          </w:rPr>
          <w:t>Národní památkový ústav Kroměříž - odborné pracoviště pro Zlínský kraj</w:t>
        </w:r>
      </w:hyperlink>
      <w:r w:rsidR="001176AD" w:rsidRPr="0014184C">
        <w:rPr>
          <w:rFonts w:cs="Calibri"/>
          <w:i/>
          <w:sz w:val="20"/>
          <w:szCs w:val="20"/>
        </w:rPr>
        <w:t>).</w:t>
      </w:r>
    </w:p>
    <w:sectPr w:rsidR="001176AD" w:rsidRPr="0014184C" w:rsidSect="00261AAC">
      <w:footerReference w:type="even" r:id="rId10"/>
      <w:footerReference w:type="default" r:id="rId11"/>
      <w:headerReference w:type="first" r:id="rId12"/>
      <w:footerReference w:type="first" r:id="rId13"/>
      <w:pgSz w:w="11907" w:h="16840"/>
      <w:pgMar w:top="1276" w:right="1418" w:bottom="1418" w:left="1418" w:header="567"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65A" w:rsidRDefault="00B5065A">
      <w:r>
        <w:separator/>
      </w:r>
    </w:p>
  </w:endnote>
  <w:endnote w:type="continuationSeparator" w:id="0">
    <w:p w:rsidR="00B5065A" w:rsidRDefault="00B5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yriad Pro Light">
    <w:altName w:val="Corbel"/>
    <w:panose1 w:val="020B0603030403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8F9" w:rsidRDefault="00B068F9">
    <w:pPr>
      <w:pStyle w:val="Zpat"/>
      <w:framePr w:h="0" w:wrap="around" w:vAnchor="text" w:hAnchor="margin" w:xAlign="right" w:y="1"/>
      <w:rPr>
        <w:rStyle w:val="slostrnky"/>
      </w:rPr>
    </w:pPr>
    <w:r>
      <w:fldChar w:fldCharType="begin"/>
    </w:r>
    <w:r>
      <w:rPr>
        <w:rStyle w:val="slostrnky"/>
      </w:rPr>
      <w:instrText xml:space="preserve">PAGE  </w:instrText>
    </w:r>
    <w:r>
      <w:fldChar w:fldCharType="end"/>
    </w:r>
  </w:p>
  <w:p w:rsidR="00B068F9" w:rsidRDefault="00B068F9">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8F9" w:rsidRDefault="00B068F9" w:rsidP="00174D6D">
    <w:pPr>
      <w:pStyle w:val="Zhlav"/>
    </w:pPr>
  </w:p>
  <w:p w:rsidR="00B068F9" w:rsidRDefault="00B068F9" w:rsidP="00174D6D"/>
  <w:p w:rsidR="00B068F9" w:rsidRDefault="00B068F9" w:rsidP="00174D6D">
    <w:pPr>
      <w:pStyle w:val="Zpat"/>
    </w:pPr>
  </w:p>
  <w:p w:rsidR="00B068F9" w:rsidRDefault="00B068F9" w:rsidP="00174D6D"/>
  <w:p w:rsidR="00B068F9" w:rsidRPr="00104576" w:rsidRDefault="00B068F9" w:rsidP="00174D6D">
    <w:pPr>
      <w:pStyle w:val="zpat0"/>
    </w:pPr>
    <w:r>
      <w:rPr>
        <w:noProof/>
        <w:lang w:eastAsia="cs-CZ"/>
      </w:rPr>
      <mc:AlternateContent>
        <mc:Choice Requires="wps">
          <w:drawing>
            <wp:anchor distT="0" distB="0" distL="114300" distR="114300" simplePos="0" relativeHeight="251661312" behindDoc="0" locked="0" layoutInCell="1" allowOverlap="1">
              <wp:simplePos x="0" y="0"/>
              <wp:positionH relativeFrom="column">
                <wp:posOffset>5019675</wp:posOffset>
              </wp:positionH>
              <wp:positionV relativeFrom="paragraph">
                <wp:posOffset>48895</wp:posOffset>
              </wp:positionV>
              <wp:extent cx="855345" cy="351155"/>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rsidR="00B068F9" w:rsidRPr="00E4698A" w:rsidRDefault="00B068F9" w:rsidP="00174D6D">
                          <w:pPr>
                            <w:jc w:val="right"/>
                            <w:rPr>
                              <w:rFonts w:ascii="Calibri Light" w:hAnsi="Calibri Light"/>
                              <w:sz w:val="20"/>
                              <w:szCs w:val="20"/>
                            </w:rPr>
                          </w:pPr>
                          <w:r w:rsidRPr="00E4698A">
                            <w:rPr>
                              <w:sz w:val="20"/>
                              <w:szCs w:val="20"/>
                            </w:rPr>
                            <w:fldChar w:fldCharType="begin"/>
                          </w:r>
                          <w:r w:rsidRPr="00E4698A">
                            <w:rPr>
                              <w:rFonts w:ascii="Times New Roman" w:hAnsi="Times New Roman"/>
                              <w:sz w:val="20"/>
                              <w:szCs w:val="20"/>
                            </w:rPr>
                            <w:instrText xml:space="preserve"> PAGE  \* Arabic  \* MERGEFORMAT </w:instrText>
                          </w:r>
                          <w:r w:rsidRPr="00E4698A">
                            <w:rPr>
                              <w:sz w:val="20"/>
                              <w:szCs w:val="20"/>
                            </w:rPr>
                            <w:fldChar w:fldCharType="separate"/>
                          </w:r>
                          <w:r w:rsidR="00285E2F" w:rsidRPr="00285E2F">
                            <w:rPr>
                              <w:rFonts w:ascii="Calibri Light" w:hAnsi="Calibri Light"/>
                              <w:noProof/>
                              <w:sz w:val="20"/>
                              <w:szCs w:val="20"/>
                            </w:rPr>
                            <w:t>2</w:t>
                          </w:r>
                          <w:r w:rsidRPr="00E4698A">
                            <w:rPr>
                              <w:sz w:val="20"/>
                              <w:szCs w:val="20"/>
                            </w:rPr>
                            <w:fldChar w:fldCharType="end"/>
                          </w:r>
                          <w:r w:rsidRPr="00E4698A">
                            <w:rPr>
                              <w:rFonts w:ascii="Calibri Light" w:hAnsi="Calibri Light"/>
                              <w:sz w:val="20"/>
                              <w:szCs w:val="20"/>
                            </w:rPr>
                            <w:t>/</w:t>
                          </w:r>
                          <w:r w:rsidRPr="00E4698A">
                            <w:rPr>
                              <w:rFonts w:ascii="Calibri Light" w:hAnsi="Calibri Light"/>
                              <w:sz w:val="20"/>
                              <w:szCs w:val="20"/>
                            </w:rPr>
                            <w:fldChar w:fldCharType="begin"/>
                          </w:r>
                          <w:r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285E2F">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margin-left:395.25pt;margin-top:3.85pt;width:67.35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" filled="f" stroked="f" strokeweight=".5pt">
              <v:path arrowok="t"/>
              <v:textbox>
                <w:txbxContent>
                  <w:p w:rsidR="00B068F9" w:rsidRPr="00E4698A" w:rsidRDefault="00B068F9" w:rsidP="00174D6D">
                    <w:pPr>
                      <w:jc w:val="right"/>
                      <w:rPr>
                        <w:rFonts w:ascii="Calibri Light" w:hAnsi="Calibri Light"/>
                        <w:sz w:val="20"/>
                        <w:szCs w:val="20"/>
                      </w:rPr>
                    </w:pPr>
                    <w:r w:rsidRPr="00E4698A">
                      <w:rPr>
                        <w:sz w:val="20"/>
                        <w:szCs w:val="20"/>
                      </w:rPr>
                      <w:fldChar w:fldCharType="begin"/>
                    </w:r>
                    <w:r w:rsidRPr="00E4698A">
                      <w:rPr>
                        <w:rFonts w:ascii="Times New Roman" w:hAnsi="Times New Roman"/>
                        <w:sz w:val="20"/>
                        <w:szCs w:val="20"/>
                      </w:rPr>
                      <w:instrText xml:space="preserve"> PAGE  \* Arabic  \* MERGEFORMAT </w:instrText>
                    </w:r>
                    <w:r w:rsidRPr="00E4698A">
                      <w:rPr>
                        <w:sz w:val="20"/>
                        <w:szCs w:val="20"/>
                      </w:rPr>
                      <w:fldChar w:fldCharType="separate"/>
                    </w:r>
                    <w:r w:rsidR="00285E2F" w:rsidRPr="00285E2F">
                      <w:rPr>
                        <w:rFonts w:ascii="Calibri Light" w:hAnsi="Calibri Light"/>
                        <w:noProof/>
                        <w:sz w:val="20"/>
                        <w:szCs w:val="20"/>
                      </w:rPr>
                      <w:t>2</w:t>
                    </w:r>
                    <w:r w:rsidRPr="00E4698A">
                      <w:rPr>
                        <w:sz w:val="20"/>
                        <w:szCs w:val="20"/>
                      </w:rPr>
                      <w:fldChar w:fldCharType="end"/>
                    </w:r>
                    <w:r w:rsidRPr="00E4698A">
                      <w:rPr>
                        <w:rFonts w:ascii="Calibri Light" w:hAnsi="Calibri Light"/>
                        <w:sz w:val="20"/>
                        <w:szCs w:val="20"/>
                      </w:rPr>
                      <w:t>/</w:t>
                    </w:r>
                    <w:r w:rsidRPr="00E4698A">
                      <w:rPr>
                        <w:rFonts w:ascii="Calibri Light" w:hAnsi="Calibri Light"/>
                        <w:sz w:val="20"/>
                        <w:szCs w:val="20"/>
                      </w:rPr>
                      <w:fldChar w:fldCharType="begin"/>
                    </w:r>
                    <w:r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285E2F">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Pr="00104576">
      <w:t xml:space="preserve">Národní památkový ústav, </w:t>
    </w:r>
    <w:r w:rsidRPr="00AA7ECE">
      <w:t xml:space="preserve">územní odborné pracoviště v Kroměříži | </w:t>
    </w:r>
    <w:r>
      <w:t>Riegrovo</w:t>
    </w:r>
    <w:r w:rsidRPr="00AA7ECE">
      <w:t xml:space="preserve"> náměstí </w:t>
    </w:r>
    <w:r>
      <w:t>3228/22</w:t>
    </w:r>
    <w:r w:rsidRPr="00AA7ECE">
      <w:t>, 767 01 Kroměříž</w:t>
    </w:r>
    <w:r w:rsidRPr="00104576">
      <w:br/>
    </w:r>
    <w:r w:rsidRPr="00AA7ECE">
      <w:t>T +420</w:t>
    </w:r>
    <w:r>
      <w:t xml:space="preserve"> 776 198 363 </w:t>
    </w:r>
    <w:r w:rsidRPr="00104576">
      <w:t>| E epodatelna@npu.cz | DS 2cy8h6t | IČO 75032333 | DIČ CZ75032333</w:t>
    </w:r>
    <w:r>
      <w:t xml:space="preserve"> | </w:t>
    </w:r>
    <w:hyperlink r:id="rId1" w:history="1">
      <w:r w:rsidRPr="00174D6D">
        <w:rPr>
          <w:rStyle w:val="Hypertextovodkaz"/>
        </w:rPr>
        <w:t>www.npu.cz</w:t>
      </w:r>
    </w:hyperlink>
  </w:p>
  <w:p w:rsidR="00B068F9" w:rsidRDefault="00B068F9">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8F9" w:rsidRDefault="00B068F9" w:rsidP="00174D6D">
    <w:pPr>
      <w:pStyle w:val="Zhlav"/>
    </w:pPr>
  </w:p>
  <w:p w:rsidR="00B068F9" w:rsidRDefault="00B068F9" w:rsidP="00174D6D"/>
  <w:p w:rsidR="00B068F9" w:rsidRDefault="00B068F9" w:rsidP="00174D6D">
    <w:pPr>
      <w:pStyle w:val="Zpat"/>
    </w:pPr>
  </w:p>
  <w:p w:rsidR="00B068F9" w:rsidRDefault="00B068F9" w:rsidP="00174D6D"/>
  <w:p w:rsidR="00B068F9" w:rsidRPr="00104576" w:rsidRDefault="00B068F9" w:rsidP="00174D6D">
    <w:pPr>
      <w:pStyle w:val="zpat0"/>
    </w:pPr>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4962525</wp:posOffset>
              </wp:positionH>
              <wp:positionV relativeFrom="paragraph">
                <wp:posOffset>48895</wp:posOffset>
              </wp:positionV>
              <wp:extent cx="855345" cy="35115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rsidR="00B068F9" w:rsidRPr="00E4698A" w:rsidRDefault="00C6484C" w:rsidP="00174D6D">
                          <w:pPr>
                            <w:jc w:val="right"/>
                            <w:rPr>
                              <w:rFonts w:ascii="Calibri Light" w:hAnsi="Calibri Light"/>
                              <w:sz w:val="20"/>
                              <w:szCs w:val="20"/>
                            </w:rPr>
                          </w:pPr>
                          <w:r>
                            <w:rPr>
                              <w:sz w:val="20"/>
                              <w:szCs w:val="20"/>
                            </w:rPr>
                            <w:t xml:space="preserve"> </w:t>
                          </w:r>
                          <w:r w:rsidR="00B068F9" w:rsidRPr="00E4698A">
                            <w:rPr>
                              <w:sz w:val="20"/>
                              <w:szCs w:val="20"/>
                            </w:rPr>
                            <w:fldChar w:fldCharType="begin"/>
                          </w:r>
                          <w:r w:rsidR="00B068F9" w:rsidRPr="00E4698A">
                            <w:rPr>
                              <w:rFonts w:ascii="Times New Roman" w:hAnsi="Times New Roman"/>
                              <w:sz w:val="20"/>
                              <w:szCs w:val="20"/>
                            </w:rPr>
                            <w:instrText xml:space="preserve"> PAGE  \* Arabic  \* MERGEFORMAT </w:instrText>
                          </w:r>
                          <w:r w:rsidR="00B068F9" w:rsidRPr="00E4698A">
                            <w:rPr>
                              <w:sz w:val="20"/>
                              <w:szCs w:val="20"/>
                            </w:rPr>
                            <w:fldChar w:fldCharType="separate"/>
                          </w:r>
                          <w:r w:rsidR="00285E2F" w:rsidRPr="00285E2F">
                            <w:rPr>
                              <w:rFonts w:ascii="Calibri Light" w:hAnsi="Calibri Light"/>
                              <w:noProof/>
                              <w:sz w:val="20"/>
                              <w:szCs w:val="20"/>
                            </w:rPr>
                            <w:t>1</w:t>
                          </w:r>
                          <w:r w:rsidR="00B068F9" w:rsidRPr="00E4698A">
                            <w:rPr>
                              <w:sz w:val="20"/>
                              <w:szCs w:val="20"/>
                            </w:rPr>
                            <w:fldChar w:fldCharType="end"/>
                          </w:r>
                          <w:r w:rsidR="00B068F9" w:rsidRPr="00E4698A">
                            <w:rPr>
                              <w:rFonts w:ascii="Calibri Light" w:hAnsi="Calibri Light"/>
                              <w:sz w:val="20"/>
                              <w:szCs w:val="20"/>
                            </w:rPr>
                            <w:t>/</w:t>
                          </w:r>
                          <w:r w:rsidR="00B068F9" w:rsidRPr="00E4698A">
                            <w:rPr>
                              <w:rFonts w:ascii="Calibri Light" w:hAnsi="Calibri Light"/>
                              <w:sz w:val="20"/>
                              <w:szCs w:val="20"/>
                            </w:rPr>
                            <w:fldChar w:fldCharType="begin"/>
                          </w:r>
                          <w:r w:rsidR="00B068F9" w:rsidRPr="00E4698A">
                            <w:rPr>
                              <w:rFonts w:ascii="Calibri Light" w:hAnsi="Calibri Light"/>
                              <w:sz w:val="20"/>
                              <w:szCs w:val="20"/>
                            </w:rPr>
                            <w:instrText xml:space="preserve"> NUMPAGES  \# "0" \* Arabic  \* MERGEFORMAT </w:instrText>
                          </w:r>
                          <w:r w:rsidR="00B068F9" w:rsidRPr="00E4698A">
                            <w:rPr>
                              <w:rFonts w:ascii="Calibri Light" w:hAnsi="Calibri Light"/>
                              <w:sz w:val="20"/>
                              <w:szCs w:val="20"/>
                            </w:rPr>
                            <w:fldChar w:fldCharType="separate"/>
                          </w:r>
                          <w:r w:rsidR="00285E2F">
                            <w:rPr>
                              <w:rFonts w:ascii="Calibri Light" w:hAnsi="Calibri Light"/>
                              <w:noProof/>
                              <w:sz w:val="20"/>
                              <w:szCs w:val="20"/>
                            </w:rPr>
                            <w:t>3</w:t>
                          </w:r>
                          <w:r w:rsidR="00B068F9"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7" type="#_x0000_t202" style="position:absolute;margin-left:390.75pt;margin-top:3.85pt;width:67.3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" filled="f" stroked="f" strokeweight=".5pt">
              <v:path arrowok="t"/>
              <v:textbox>
                <w:txbxContent>
                  <w:p w:rsidR="00B068F9" w:rsidRPr="00E4698A" w:rsidRDefault="00C6484C" w:rsidP="00174D6D">
                    <w:pPr>
                      <w:jc w:val="right"/>
                      <w:rPr>
                        <w:rFonts w:ascii="Calibri Light" w:hAnsi="Calibri Light"/>
                        <w:sz w:val="20"/>
                        <w:szCs w:val="20"/>
                      </w:rPr>
                    </w:pPr>
                    <w:r>
                      <w:rPr>
                        <w:sz w:val="20"/>
                        <w:szCs w:val="20"/>
                      </w:rPr>
                      <w:t xml:space="preserve"> </w:t>
                    </w:r>
                    <w:r w:rsidR="00B068F9" w:rsidRPr="00E4698A">
                      <w:rPr>
                        <w:sz w:val="20"/>
                        <w:szCs w:val="20"/>
                      </w:rPr>
                      <w:fldChar w:fldCharType="begin"/>
                    </w:r>
                    <w:r w:rsidR="00B068F9" w:rsidRPr="00E4698A">
                      <w:rPr>
                        <w:rFonts w:ascii="Times New Roman" w:hAnsi="Times New Roman"/>
                        <w:sz w:val="20"/>
                        <w:szCs w:val="20"/>
                      </w:rPr>
                      <w:instrText xml:space="preserve"> PAGE  \* Arabic  \* MERGEFORMAT </w:instrText>
                    </w:r>
                    <w:r w:rsidR="00B068F9" w:rsidRPr="00E4698A">
                      <w:rPr>
                        <w:sz w:val="20"/>
                        <w:szCs w:val="20"/>
                      </w:rPr>
                      <w:fldChar w:fldCharType="separate"/>
                    </w:r>
                    <w:r w:rsidR="00285E2F" w:rsidRPr="00285E2F">
                      <w:rPr>
                        <w:rFonts w:ascii="Calibri Light" w:hAnsi="Calibri Light"/>
                        <w:noProof/>
                        <w:sz w:val="20"/>
                        <w:szCs w:val="20"/>
                      </w:rPr>
                      <w:t>1</w:t>
                    </w:r>
                    <w:r w:rsidR="00B068F9" w:rsidRPr="00E4698A">
                      <w:rPr>
                        <w:sz w:val="20"/>
                        <w:szCs w:val="20"/>
                      </w:rPr>
                      <w:fldChar w:fldCharType="end"/>
                    </w:r>
                    <w:r w:rsidR="00B068F9" w:rsidRPr="00E4698A">
                      <w:rPr>
                        <w:rFonts w:ascii="Calibri Light" w:hAnsi="Calibri Light"/>
                        <w:sz w:val="20"/>
                        <w:szCs w:val="20"/>
                      </w:rPr>
                      <w:t>/</w:t>
                    </w:r>
                    <w:r w:rsidR="00B068F9" w:rsidRPr="00E4698A">
                      <w:rPr>
                        <w:rFonts w:ascii="Calibri Light" w:hAnsi="Calibri Light"/>
                        <w:sz w:val="20"/>
                        <w:szCs w:val="20"/>
                      </w:rPr>
                      <w:fldChar w:fldCharType="begin"/>
                    </w:r>
                    <w:r w:rsidR="00B068F9" w:rsidRPr="00E4698A">
                      <w:rPr>
                        <w:rFonts w:ascii="Calibri Light" w:hAnsi="Calibri Light"/>
                        <w:sz w:val="20"/>
                        <w:szCs w:val="20"/>
                      </w:rPr>
                      <w:instrText xml:space="preserve"> NUMPAGES  \# "0" \* Arabic  \* MERGEFORMAT </w:instrText>
                    </w:r>
                    <w:r w:rsidR="00B068F9" w:rsidRPr="00E4698A">
                      <w:rPr>
                        <w:rFonts w:ascii="Calibri Light" w:hAnsi="Calibri Light"/>
                        <w:sz w:val="20"/>
                        <w:szCs w:val="20"/>
                      </w:rPr>
                      <w:fldChar w:fldCharType="separate"/>
                    </w:r>
                    <w:r w:rsidR="00285E2F">
                      <w:rPr>
                        <w:rFonts w:ascii="Calibri Light" w:hAnsi="Calibri Light"/>
                        <w:noProof/>
                        <w:sz w:val="20"/>
                        <w:szCs w:val="20"/>
                      </w:rPr>
                      <w:t>3</w:t>
                    </w:r>
                    <w:r w:rsidR="00B068F9" w:rsidRPr="00E4698A">
                      <w:rPr>
                        <w:rFonts w:ascii="Calibri Light" w:hAnsi="Calibri Light"/>
                        <w:sz w:val="20"/>
                        <w:szCs w:val="20"/>
                      </w:rPr>
                      <w:fldChar w:fldCharType="end"/>
                    </w:r>
                  </w:p>
                </w:txbxContent>
              </v:textbox>
            </v:shape>
          </w:pict>
        </mc:Fallback>
      </mc:AlternateContent>
    </w:r>
    <w:r w:rsidRPr="00104576">
      <w:t xml:space="preserve">Národní památkový ústav, </w:t>
    </w:r>
    <w:r w:rsidRPr="00AA7ECE">
      <w:t xml:space="preserve">územní odborné pracoviště v Kroměříži | </w:t>
    </w:r>
    <w:r>
      <w:t>Riegrovo</w:t>
    </w:r>
    <w:r w:rsidRPr="00AA7ECE">
      <w:t xml:space="preserve"> náměstí </w:t>
    </w:r>
    <w:r>
      <w:t>3228/22</w:t>
    </w:r>
    <w:r w:rsidRPr="00AA7ECE">
      <w:t>, 767 01 Kroměříž</w:t>
    </w:r>
    <w:r w:rsidRPr="00104576">
      <w:br/>
    </w:r>
    <w:r w:rsidRPr="00AA7ECE">
      <w:t>T +420 </w:t>
    </w:r>
    <w:r>
      <w:t xml:space="preserve">776 198 363 </w:t>
    </w:r>
    <w:r w:rsidRPr="00104576">
      <w:t>| E epodatelna@npu.cz | DS 2cy8h6t | IČO 75032333 | DIČ CZ75032333</w:t>
    </w:r>
    <w:r>
      <w:t xml:space="preserve"> | </w:t>
    </w:r>
    <w:hyperlink r:id="rId1" w:history="1">
      <w:r w:rsidRPr="00174D6D">
        <w:rPr>
          <w:rStyle w:val="Hypertextovodkaz"/>
        </w:rPr>
        <w:t>www.npu.cz</w:t>
      </w:r>
    </w:hyperlink>
  </w:p>
  <w:p w:rsidR="00B068F9" w:rsidRDefault="00B068F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65A" w:rsidRDefault="00B5065A">
      <w:r>
        <w:separator/>
      </w:r>
    </w:p>
  </w:footnote>
  <w:footnote w:type="continuationSeparator" w:id="0">
    <w:p w:rsidR="00B5065A" w:rsidRDefault="00B506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8F9" w:rsidRDefault="00B068F9">
    <w:pPr>
      <w:pStyle w:val="Zhlav"/>
    </w:pPr>
    <w:r>
      <w:rPr>
        <w:noProof/>
      </w:rPr>
      <w:drawing>
        <wp:inline distT="0" distB="0" distL="0" distR="0">
          <wp:extent cx="2197160" cy="819150"/>
          <wp:effectExtent l="0" t="0" r="0" b="0"/>
          <wp:docPr id="10" name="obrázek 1" descr="NPU-UOP_v_Kromeriz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UOP_v_Kromerizi-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011" cy="823196"/>
                  </a:xfrm>
                  <a:prstGeom prst="rect">
                    <a:avLst/>
                  </a:prstGeom>
                  <a:noFill/>
                  <a:ln>
                    <a:noFill/>
                  </a:ln>
                </pic:spPr>
              </pic:pic>
            </a:graphicData>
          </a:graphic>
        </wp:inline>
      </w:drawing>
    </w:r>
    <w:r>
      <w:tab/>
    </w:r>
  </w:p>
  <w:p w:rsidR="00B068F9" w:rsidRDefault="00B068F9">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D3E53"/>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632A1A08"/>
    <w:multiLevelType w:val="hybridMultilevel"/>
    <w:tmpl w:val="BB543C6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EC7"/>
    <w:rsid w:val="00003C69"/>
    <w:rsid w:val="0002065B"/>
    <w:rsid w:val="00033499"/>
    <w:rsid w:val="000466E3"/>
    <w:rsid w:val="0005034D"/>
    <w:rsid w:val="000648A5"/>
    <w:rsid w:val="000669A7"/>
    <w:rsid w:val="00083E53"/>
    <w:rsid w:val="000E10C7"/>
    <w:rsid w:val="000F5523"/>
    <w:rsid w:val="000F72C3"/>
    <w:rsid w:val="001176AD"/>
    <w:rsid w:val="0014184C"/>
    <w:rsid w:val="001529B8"/>
    <w:rsid w:val="00167127"/>
    <w:rsid w:val="00172A27"/>
    <w:rsid w:val="00174D6D"/>
    <w:rsid w:val="00190D13"/>
    <w:rsid w:val="00195B13"/>
    <w:rsid w:val="001A4E46"/>
    <w:rsid w:val="001F443A"/>
    <w:rsid w:val="001F4B70"/>
    <w:rsid w:val="002107EE"/>
    <w:rsid w:val="00210D1D"/>
    <w:rsid w:val="00216794"/>
    <w:rsid w:val="002176A4"/>
    <w:rsid w:val="0022082C"/>
    <w:rsid w:val="002410A3"/>
    <w:rsid w:val="0025175B"/>
    <w:rsid w:val="002617E9"/>
    <w:rsid w:val="00261AAC"/>
    <w:rsid w:val="00285E2F"/>
    <w:rsid w:val="00295748"/>
    <w:rsid w:val="002B510B"/>
    <w:rsid w:val="002D09DF"/>
    <w:rsid w:val="002D473A"/>
    <w:rsid w:val="002F0F81"/>
    <w:rsid w:val="002F2B99"/>
    <w:rsid w:val="0031590E"/>
    <w:rsid w:val="00363636"/>
    <w:rsid w:val="00364D75"/>
    <w:rsid w:val="00365301"/>
    <w:rsid w:val="00374137"/>
    <w:rsid w:val="003861B6"/>
    <w:rsid w:val="003D1B92"/>
    <w:rsid w:val="003D1E63"/>
    <w:rsid w:val="003D3FDE"/>
    <w:rsid w:val="003E2049"/>
    <w:rsid w:val="003F763A"/>
    <w:rsid w:val="00411BA0"/>
    <w:rsid w:val="004126C2"/>
    <w:rsid w:val="00414F50"/>
    <w:rsid w:val="00441F7F"/>
    <w:rsid w:val="00474FF3"/>
    <w:rsid w:val="004826DB"/>
    <w:rsid w:val="004967F4"/>
    <w:rsid w:val="004E1E96"/>
    <w:rsid w:val="00501ADD"/>
    <w:rsid w:val="005C5354"/>
    <w:rsid w:val="005D175F"/>
    <w:rsid w:val="005E3950"/>
    <w:rsid w:val="00606251"/>
    <w:rsid w:val="0061281D"/>
    <w:rsid w:val="00617FE9"/>
    <w:rsid w:val="00643990"/>
    <w:rsid w:val="00646FE6"/>
    <w:rsid w:val="00654231"/>
    <w:rsid w:val="006566CA"/>
    <w:rsid w:val="0069617A"/>
    <w:rsid w:val="006A5ACB"/>
    <w:rsid w:val="006A7D43"/>
    <w:rsid w:val="006E7D3D"/>
    <w:rsid w:val="006F1492"/>
    <w:rsid w:val="006F6017"/>
    <w:rsid w:val="00713D3C"/>
    <w:rsid w:val="00715605"/>
    <w:rsid w:val="00715FCD"/>
    <w:rsid w:val="00724F30"/>
    <w:rsid w:val="007251D5"/>
    <w:rsid w:val="00725674"/>
    <w:rsid w:val="007271B6"/>
    <w:rsid w:val="007857C8"/>
    <w:rsid w:val="00787295"/>
    <w:rsid w:val="007A2444"/>
    <w:rsid w:val="008020DC"/>
    <w:rsid w:val="00802463"/>
    <w:rsid w:val="008031DC"/>
    <w:rsid w:val="00833032"/>
    <w:rsid w:val="008426C2"/>
    <w:rsid w:val="00845BF0"/>
    <w:rsid w:val="0085467B"/>
    <w:rsid w:val="00856531"/>
    <w:rsid w:val="00886931"/>
    <w:rsid w:val="008B7C8B"/>
    <w:rsid w:val="008C4B98"/>
    <w:rsid w:val="008C60B3"/>
    <w:rsid w:val="00934ED0"/>
    <w:rsid w:val="00936346"/>
    <w:rsid w:val="00965F17"/>
    <w:rsid w:val="00974BCE"/>
    <w:rsid w:val="00987D36"/>
    <w:rsid w:val="009B3620"/>
    <w:rsid w:val="009B3F3C"/>
    <w:rsid w:val="009C49DE"/>
    <w:rsid w:val="009D0ACC"/>
    <w:rsid w:val="00A0010E"/>
    <w:rsid w:val="00A04007"/>
    <w:rsid w:val="00A14F2A"/>
    <w:rsid w:val="00A17105"/>
    <w:rsid w:val="00A20C71"/>
    <w:rsid w:val="00A21076"/>
    <w:rsid w:val="00A34D64"/>
    <w:rsid w:val="00A361AC"/>
    <w:rsid w:val="00A46414"/>
    <w:rsid w:val="00A55B38"/>
    <w:rsid w:val="00A8275E"/>
    <w:rsid w:val="00A82B33"/>
    <w:rsid w:val="00AB59E2"/>
    <w:rsid w:val="00AF42E3"/>
    <w:rsid w:val="00B01D60"/>
    <w:rsid w:val="00B068F9"/>
    <w:rsid w:val="00B10600"/>
    <w:rsid w:val="00B34E7F"/>
    <w:rsid w:val="00B36721"/>
    <w:rsid w:val="00B47D3C"/>
    <w:rsid w:val="00B5065A"/>
    <w:rsid w:val="00B72AAA"/>
    <w:rsid w:val="00B75F25"/>
    <w:rsid w:val="00B858A8"/>
    <w:rsid w:val="00B959AB"/>
    <w:rsid w:val="00B96561"/>
    <w:rsid w:val="00BA6B91"/>
    <w:rsid w:val="00BB2BAB"/>
    <w:rsid w:val="00BD31C0"/>
    <w:rsid w:val="00BD7DEC"/>
    <w:rsid w:val="00BE21F9"/>
    <w:rsid w:val="00BE2BBE"/>
    <w:rsid w:val="00C062CE"/>
    <w:rsid w:val="00C20D2D"/>
    <w:rsid w:val="00C27C1E"/>
    <w:rsid w:val="00C301BD"/>
    <w:rsid w:val="00C36B1F"/>
    <w:rsid w:val="00C563C1"/>
    <w:rsid w:val="00C60782"/>
    <w:rsid w:val="00C6484C"/>
    <w:rsid w:val="00C73A0C"/>
    <w:rsid w:val="00C76F2F"/>
    <w:rsid w:val="00C77100"/>
    <w:rsid w:val="00C9435A"/>
    <w:rsid w:val="00CA173A"/>
    <w:rsid w:val="00CA547B"/>
    <w:rsid w:val="00CC7419"/>
    <w:rsid w:val="00CD0AC9"/>
    <w:rsid w:val="00CE50C8"/>
    <w:rsid w:val="00D05667"/>
    <w:rsid w:val="00D27456"/>
    <w:rsid w:val="00D36B17"/>
    <w:rsid w:val="00D53487"/>
    <w:rsid w:val="00D661DC"/>
    <w:rsid w:val="00D71FAE"/>
    <w:rsid w:val="00D85216"/>
    <w:rsid w:val="00D95923"/>
    <w:rsid w:val="00DA319A"/>
    <w:rsid w:val="00DC19FB"/>
    <w:rsid w:val="00DE77D8"/>
    <w:rsid w:val="00DF7107"/>
    <w:rsid w:val="00E031AB"/>
    <w:rsid w:val="00E07EDD"/>
    <w:rsid w:val="00E11B5B"/>
    <w:rsid w:val="00E22FE1"/>
    <w:rsid w:val="00E23EE8"/>
    <w:rsid w:val="00E473C0"/>
    <w:rsid w:val="00E5128A"/>
    <w:rsid w:val="00E64781"/>
    <w:rsid w:val="00E730C1"/>
    <w:rsid w:val="00E81B84"/>
    <w:rsid w:val="00EA180F"/>
    <w:rsid w:val="00EE381D"/>
    <w:rsid w:val="00F02F59"/>
    <w:rsid w:val="00F26E10"/>
    <w:rsid w:val="00F50175"/>
    <w:rsid w:val="00F64124"/>
    <w:rsid w:val="00F64F02"/>
    <w:rsid w:val="00F6592C"/>
    <w:rsid w:val="00F6603A"/>
    <w:rsid w:val="00F91DAA"/>
    <w:rsid w:val="00F96455"/>
    <w:rsid w:val="00FA426D"/>
    <w:rsid w:val="00FA5E9F"/>
    <w:rsid w:val="00FB3293"/>
    <w:rsid w:val="00FB7489"/>
    <w:rsid w:val="00FB7CE9"/>
    <w:rsid w:val="00FE4A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A9A4203"/>
  <w15:chartTrackingRefBased/>
  <w15:docId w15:val="{49A863D6-53BE-47FB-BAA8-450CBDEE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hAnsi="Calibri"/>
      <w:sz w:val="22"/>
      <w:szCs w:val="24"/>
    </w:rPr>
  </w:style>
  <w:style w:type="paragraph" w:styleId="Nadpis1">
    <w:name w:val="heading 1"/>
    <w:basedOn w:val="Normln"/>
    <w:next w:val="Normln"/>
    <w:qFormat/>
    <w:pPr>
      <w:keepNext/>
      <w:spacing w:before="240" w:after="60"/>
      <w:outlineLvl w:val="0"/>
    </w:pPr>
    <w:rPr>
      <w:rFonts w:cs="Arial"/>
      <w:b/>
      <w:bCs/>
      <w:kern w:val="32"/>
      <w:sz w:val="32"/>
      <w:szCs w:val="32"/>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qFormat/>
    <w:pPr>
      <w:keepNext/>
      <w:spacing w:before="240" w:after="60"/>
      <w:outlineLvl w:val="2"/>
    </w:pPr>
    <w:rPr>
      <w:rFonts w:cs="Arial"/>
      <w:b/>
      <w:bCs/>
      <w:sz w:val="26"/>
      <w:szCs w:val="26"/>
    </w:rPr>
  </w:style>
  <w:style w:type="paragraph" w:styleId="Nadpis4">
    <w:name w:val="heading 4"/>
    <w:basedOn w:val="Normln"/>
    <w:next w:val="Normln"/>
    <w:link w:val="Nadpis4Char"/>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dresaChar">
    <w:name w:val="adresa Char"/>
    <w:link w:val="adresa"/>
    <w:locked/>
    <w:rPr>
      <w:rFonts w:ascii="Calibri" w:eastAsia="Calibri" w:hAnsi="Calibri"/>
      <w:sz w:val="22"/>
      <w:szCs w:val="18"/>
      <w:lang w:val="cs-CZ" w:eastAsia="en-US" w:bidi="ar-SA"/>
    </w:rPr>
  </w:style>
  <w:style w:type="character" w:styleId="Sledovanodkaz">
    <w:name w:val="FollowedHyperlink"/>
    <w:rPr>
      <w:color w:val="800080"/>
      <w:u w:val="single"/>
    </w:rPr>
  </w:style>
  <w:style w:type="character" w:customStyle="1" w:styleId="Drobnpsmo">
    <w:name w:val="Drobné písmo"/>
    <w:rPr>
      <w:sz w:val="17"/>
    </w:rPr>
  </w:style>
  <w:style w:type="character" w:styleId="slostrnky">
    <w:name w:val="page number"/>
    <w:rPr>
      <w:rFonts w:ascii="Calibri" w:hAnsi="Calibri"/>
      <w:sz w:val="22"/>
    </w:rPr>
  </w:style>
  <w:style w:type="character" w:customStyle="1" w:styleId="Nadpis4Char">
    <w:name w:val="Nadpis 4 Char"/>
    <w:link w:val="Nadpis4"/>
    <w:semiHidden/>
    <w:rPr>
      <w:rFonts w:ascii="Calibri" w:eastAsia="Times New Roman" w:hAnsi="Calibri" w:cs="Times New Roman"/>
      <w:b/>
      <w:bCs/>
      <w:sz w:val="28"/>
      <w:szCs w:val="28"/>
    </w:rPr>
  </w:style>
  <w:style w:type="character" w:styleId="Hypertextovodkaz">
    <w:name w:val="Hyperlink"/>
    <w:rPr>
      <w:color w:val="0000FF"/>
      <w:u w:val="single"/>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Style1">
    <w:name w:val="Style1"/>
    <w:basedOn w:val="Normln"/>
    <w:pPr>
      <w:jc w:val="both"/>
    </w:pPr>
    <w:rPr>
      <w:rFonts w:ascii="Arial" w:hAnsi="Arial" w:cs="Arial"/>
      <w:color w:val="575757"/>
      <w:sz w:val="16"/>
      <w:szCs w:val="16"/>
      <w:lang w:eastAsia="en-US"/>
    </w:rPr>
  </w:style>
  <w:style w:type="paragraph" w:customStyle="1" w:styleId="adresa">
    <w:name w:val="adresa"/>
    <w:basedOn w:val="Normln"/>
    <w:link w:val="adresaChar"/>
    <w:pPr>
      <w:jc w:val="both"/>
    </w:pPr>
    <w:rPr>
      <w:rFonts w:eastAsia="Calibri"/>
      <w:szCs w:val="18"/>
      <w:lang w:eastAsia="en-US"/>
    </w:rPr>
  </w:style>
  <w:style w:type="paragraph" w:customStyle="1" w:styleId="Default">
    <w:name w:val="Default"/>
    <w:uiPriority w:val="99"/>
    <w:unhideWhenUsed/>
    <w:pPr>
      <w:widowControl w:val="0"/>
      <w:autoSpaceDE w:val="0"/>
      <w:autoSpaceDN w:val="0"/>
    </w:pPr>
    <w:rPr>
      <w:rFonts w:ascii="Tahoma" w:eastAsia="Tahoma" w:hAnsi="Tahoma"/>
      <w:color w:val="000000"/>
      <w:sz w:val="24"/>
    </w:rPr>
  </w:style>
  <w:style w:type="character" w:styleId="Odkaznakoment">
    <w:name w:val="annotation reference"/>
    <w:rsid w:val="00F96455"/>
    <w:rPr>
      <w:sz w:val="16"/>
      <w:szCs w:val="16"/>
    </w:rPr>
  </w:style>
  <w:style w:type="paragraph" w:styleId="Textkomente">
    <w:name w:val="annotation text"/>
    <w:basedOn w:val="Normln"/>
    <w:link w:val="TextkomenteChar"/>
    <w:rsid w:val="00F96455"/>
    <w:rPr>
      <w:sz w:val="20"/>
      <w:szCs w:val="20"/>
    </w:rPr>
  </w:style>
  <w:style w:type="character" w:customStyle="1" w:styleId="TextkomenteChar">
    <w:name w:val="Text komentáře Char"/>
    <w:link w:val="Textkomente"/>
    <w:rsid w:val="00F96455"/>
    <w:rPr>
      <w:rFonts w:ascii="Calibri" w:hAnsi="Calibri"/>
    </w:rPr>
  </w:style>
  <w:style w:type="paragraph" w:styleId="Pedmtkomente">
    <w:name w:val="annotation subject"/>
    <w:basedOn w:val="Textkomente"/>
    <w:next w:val="Textkomente"/>
    <w:link w:val="PedmtkomenteChar"/>
    <w:rsid w:val="00F96455"/>
    <w:rPr>
      <w:b/>
      <w:bCs/>
    </w:rPr>
  </w:style>
  <w:style w:type="character" w:customStyle="1" w:styleId="PedmtkomenteChar">
    <w:name w:val="Předmět komentáře Char"/>
    <w:link w:val="Pedmtkomente"/>
    <w:rsid w:val="00F96455"/>
    <w:rPr>
      <w:rFonts w:ascii="Calibri" w:hAnsi="Calibri"/>
      <w:b/>
      <w:bCs/>
    </w:rPr>
  </w:style>
  <w:style w:type="paragraph" w:styleId="Textbubliny">
    <w:name w:val="Balloon Text"/>
    <w:basedOn w:val="Normln"/>
    <w:link w:val="TextbublinyChar"/>
    <w:rsid w:val="00F96455"/>
    <w:rPr>
      <w:rFonts w:ascii="Tahoma" w:hAnsi="Tahoma" w:cs="Tahoma"/>
      <w:sz w:val="16"/>
      <w:szCs w:val="16"/>
    </w:rPr>
  </w:style>
  <w:style w:type="character" w:customStyle="1" w:styleId="TextbublinyChar">
    <w:name w:val="Text bubliny Char"/>
    <w:link w:val="Textbubliny"/>
    <w:rsid w:val="00F96455"/>
    <w:rPr>
      <w:rFonts w:ascii="Tahoma" w:hAnsi="Tahoma" w:cs="Tahoma"/>
      <w:sz w:val="16"/>
      <w:szCs w:val="16"/>
    </w:rPr>
  </w:style>
  <w:style w:type="character" w:customStyle="1" w:styleId="object">
    <w:name w:val="object"/>
    <w:rsid w:val="001529B8"/>
  </w:style>
  <w:style w:type="character" w:styleId="Siln">
    <w:name w:val="Strong"/>
    <w:uiPriority w:val="22"/>
    <w:qFormat/>
    <w:rsid w:val="00DC19FB"/>
    <w:rPr>
      <w:b/>
      <w:bCs/>
    </w:rPr>
  </w:style>
  <w:style w:type="character" w:customStyle="1" w:styleId="ZpatChar">
    <w:name w:val="Zápatí Char"/>
    <w:link w:val="Zpat"/>
    <w:uiPriority w:val="99"/>
    <w:rsid w:val="00A17105"/>
    <w:rPr>
      <w:rFonts w:ascii="Calibri" w:hAnsi="Calibri"/>
      <w:sz w:val="22"/>
      <w:szCs w:val="24"/>
    </w:rPr>
  </w:style>
  <w:style w:type="character" w:styleId="Zdraznn">
    <w:name w:val="Emphasis"/>
    <w:uiPriority w:val="20"/>
    <w:qFormat/>
    <w:rsid w:val="00FB7489"/>
    <w:rPr>
      <w:i/>
      <w:iCs/>
    </w:rPr>
  </w:style>
  <w:style w:type="character" w:customStyle="1" w:styleId="ZhlavChar">
    <w:name w:val="Záhlaví Char"/>
    <w:basedOn w:val="Standardnpsmoodstavce"/>
    <w:link w:val="Zhlav"/>
    <w:uiPriority w:val="99"/>
    <w:locked/>
    <w:rsid w:val="00174D6D"/>
    <w:rPr>
      <w:rFonts w:ascii="Calibri" w:hAnsi="Calibri"/>
      <w:sz w:val="22"/>
      <w:szCs w:val="24"/>
    </w:rPr>
  </w:style>
  <w:style w:type="paragraph" w:customStyle="1" w:styleId="zpat0">
    <w:name w:val="zápatí"/>
    <w:basedOn w:val="Normln"/>
    <w:uiPriority w:val="99"/>
    <w:rsid w:val="00174D6D"/>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76240">
      <w:bodyDiv w:val="1"/>
      <w:marLeft w:val="0"/>
      <w:marRight w:val="0"/>
      <w:marTop w:val="0"/>
      <w:marBottom w:val="0"/>
      <w:divBdr>
        <w:top w:val="none" w:sz="0" w:space="0" w:color="auto"/>
        <w:left w:val="none" w:sz="0" w:space="0" w:color="auto"/>
        <w:bottom w:val="none" w:sz="0" w:space="0" w:color="auto"/>
        <w:right w:val="none" w:sz="0" w:space="0" w:color="auto"/>
      </w:divBdr>
      <w:divsChild>
        <w:div w:id="40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204981">
      <w:bodyDiv w:val="1"/>
      <w:marLeft w:val="0"/>
      <w:marRight w:val="0"/>
      <w:marTop w:val="0"/>
      <w:marBottom w:val="0"/>
      <w:divBdr>
        <w:top w:val="none" w:sz="0" w:space="0" w:color="auto"/>
        <w:left w:val="none" w:sz="0" w:space="0" w:color="auto"/>
        <w:bottom w:val="none" w:sz="0" w:space="0" w:color="auto"/>
        <w:right w:val="none" w:sz="0" w:space="0" w:color="auto"/>
      </w:divBdr>
      <w:divsChild>
        <w:div w:id="1845778189">
          <w:marLeft w:val="0"/>
          <w:marRight w:val="0"/>
          <w:marTop w:val="0"/>
          <w:marBottom w:val="0"/>
          <w:divBdr>
            <w:top w:val="none" w:sz="0" w:space="0" w:color="auto"/>
            <w:left w:val="none" w:sz="0" w:space="0" w:color="auto"/>
            <w:bottom w:val="none" w:sz="0" w:space="0" w:color="auto"/>
            <w:right w:val="none" w:sz="0" w:space="0" w:color="auto"/>
          </w:divBdr>
        </w:div>
        <w:div w:id="2084528931">
          <w:marLeft w:val="0"/>
          <w:marRight w:val="0"/>
          <w:marTop w:val="0"/>
          <w:marBottom w:val="0"/>
          <w:divBdr>
            <w:top w:val="none" w:sz="0" w:space="0" w:color="auto"/>
            <w:left w:val="none" w:sz="0" w:space="0" w:color="auto"/>
            <w:bottom w:val="none" w:sz="0" w:space="0" w:color="auto"/>
            <w:right w:val="none" w:sz="0" w:space="0" w:color="auto"/>
          </w:divBdr>
        </w:div>
      </w:divsChild>
    </w:div>
    <w:div w:id="645210921">
      <w:bodyDiv w:val="1"/>
      <w:marLeft w:val="0"/>
      <w:marRight w:val="0"/>
      <w:marTop w:val="0"/>
      <w:marBottom w:val="0"/>
      <w:divBdr>
        <w:top w:val="none" w:sz="0" w:space="0" w:color="auto"/>
        <w:left w:val="none" w:sz="0" w:space="0" w:color="auto"/>
        <w:bottom w:val="none" w:sz="0" w:space="0" w:color="auto"/>
        <w:right w:val="none" w:sz="0" w:space="0" w:color="auto"/>
      </w:divBdr>
    </w:div>
    <w:div w:id="791094837">
      <w:bodyDiv w:val="1"/>
      <w:marLeft w:val="0"/>
      <w:marRight w:val="0"/>
      <w:marTop w:val="0"/>
      <w:marBottom w:val="0"/>
      <w:divBdr>
        <w:top w:val="none" w:sz="0" w:space="0" w:color="auto"/>
        <w:left w:val="none" w:sz="0" w:space="0" w:color="auto"/>
        <w:bottom w:val="none" w:sz="0" w:space="0" w:color="auto"/>
        <w:right w:val="none" w:sz="0" w:space="0" w:color="auto"/>
      </w:divBdr>
    </w:div>
    <w:div w:id="1135489209">
      <w:bodyDiv w:val="1"/>
      <w:marLeft w:val="0"/>
      <w:marRight w:val="0"/>
      <w:marTop w:val="0"/>
      <w:marBottom w:val="0"/>
      <w:divBdr>
        <w:top w:val="none" w:sz="0" w:space="0" w:color="auto"/>
        <w:left w:val="none" w:sz="0" w:space="0" w:color="auto"/>
        <w:bottom w:val="none" w:sz="0" w:space="0" w:color="auto"/>
        <w:right w:val="none" w:sz="0" w:space="0" w:color="auto"/>
      </w:divBdr>
    </w:div>
    <w:div w:id="1145900177">
      <w:bodyDiv w:val="1"/>
      <w:marLeft w:val="0"/>
      <w:marRight w:val="0"/>
      <w:marTop w:val="0"/>
      <w:marBottom w:val="0"/>
      <w:divBdr>
        <w:top w:val="none" w:sz="0" w:space="0" w:color="auto"/>
        <w:left w:val="none" w:sz="0" w:space="0" w:color="auto"/>
        <w:bottom w:val="none" w:sz="0" w:space="0" w:color="auto"/>
        <w:right w:val="none" w:sz="0" w:space="0" w:color="auto"/>
      </w:divBdr>
    </w:div>
    <w:div w:id="1542211179">
      <w:bodyDiv w:val="1"/>
      <w:marLeft w:val="0"/>
      <w:marRight w:val="0"/>
      <w:marTop w:val="0"/>
      <w:marBottom w:val="0"/>
      <w:divBdr>
        <w:top w:val="none" w:sz="0" w:space="0" w:color="auto"/>
        <w:left w:val="none" w:sz="0" w:space="0" w:color="auto"/>
        <w:bottom w:val="none" w:sz="0" w:space="0" w:color="auto"/>
        <w:right w:val="none" w:sz="0" w:space="0" w:color="auto"/>
      </w:divBdr>
    </w:div>
    <w:div w:id="180141169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uop-kromeri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pamatkari.kromeri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npu.cz/uop-kromeri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pu.cz/uop-kromeri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3D1AE-5603-4DF9-ABF5-6EC4E88C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2</Pages>
  <Words>1040</Words>
  <Characters>6142</Characters>
  <Application>Microsoft Office Word</Application>
  <DocSecurity>0</DocSecurity>
  <PresentationFormat/>
  <Lines>51</Lines>
  <Paragraphs>14</Paragraphs>
  <Slides>0</Slides>
  <Notes>0</Notes>
  <HiddenSlides>0</HiddenSlides>
  <MMClips>0</MMClips>
  <ScaleCrop>false</ScaleCrop>
  <HeadingPairs>
    <vt:vector size="2" baseType="variant">
      <vt:variant>
        <vt:lpstr>Název</vt:lpstr>
      </vt:variant>
      <vt:variant>
        <vt:i4>1</vt:i4>
      </vt:variant>
    </vt:vector>
  </HeadingPairs>
  <TitlesOfParts>
    <vt:vector size="1" baseType="lpstr">
      <vt:lpstr>TISKOVÁ ZPRÁVA</vt:lpstr>
    </vt:vector>
  </TitlesOfParts>
  <Company>NPÚ</Company>
  <LinksUpToDate>false</LinksUpToDate>
  <CharactersWithSpaces>7168</CharactersWithSpaces>
  <SharedDoc>false</SharedDoc>
  <HLinks>
    <vt:vector size="48" baseType="variant">
      <vt:variant>
        <vt:i4>589948</vt:i4>
      </vt:variant>
      <vt:variant>
        <vt:i4>21</vt:i4>
      </vt:variant>
      <vt:variant>
        <vt:i4>0</vt:i4>
      </vt:variant>
      <vt:variant>
        <vt:i4>5</vt:i4>
      </vt:variant>
      <vt:variant>
        <vt:lpwstr>mailto:zelinkova.petra@npu.cz</vt:lpwstr>
      </vt:variant>
      <vt:variant>
        <vt:lpwstr/>
      </vt:variant>
      <vt:variant>
        <vt:i4>1769555</vt:i4>
      </vt:variant>
      <vt:variant>
        <vt:i4>18</vt:i4>
      </vt:variant>
      <vt:variant>
        <vt:i4>0</vt:i4>
      </vt:variant>
      <vt:variant>
        <vt:i4>5</vt:i4>
      </vt:variant>
      <vt:variant>
        <vt:lpwstr>http://www.facebook.com/uop.kromeriz</vt:lpwstr>
      </vt:variant>
      <vt:variant>
        <vt:lpwstr/>
      </vt:variant>
      <vt:variant>
        <vt:i4>8126580</vt:i4>
      </vt:variant>
      <vt:variant>
        <vt:i4>15</vt:i4>
      </vt:variant>
      <vt:variant>
        <vt:i4>0</vt:i4>
      </vt:variant>
      <vt:variant>
        <vt:i4>5</vt:i4>
      </vt:variant>
      <vt:variant>
        <vt:lpwstr>http://www.npu.cz/</vt:lpwstr>
      </vt:variant>
      <vt:variant>
        <vt:lpwstr/>
      </vt:variant>
      <vt:variant>
        <vt:i4>5046281</vt:i4>
      </vt:variant>
      <vt:variant>
        <vt:i4>12</vt:i4>
      </vt:variant>
      <vt:variant>
        <vt:i4>0</vt:i4>
      </vt:variant>
      <vt:variant>
        <vt:i4>5</vt:i4>
      </vt:variant>
      <vt:variant>
        <vt:lpwstr>http://www.facebook.com/nczk.kromeriz</vt:lpwstr>
      </vt:variant>
      <vt:variant>
        <vt:lpwstr/>
      </vt:variant>
      <vt:variant>
        <vt:i4>7012411</vt:i4>
      </vt:variant>
      <vt:variant>
        <vt:i4>9</vt:i4>
      </vt:variant>
      <vt:variant>
        <vt:i4>0</vt:i4>
      </vt:variant>
      <vt:variant>
        <vt:i4>5</vt:i4>
      </vt:variant>
      <vt:variant>
        <vt:lpwstr>http://www.nczk.cz/</vt:lpwstr>
      </vt:variant>
      <vt:variant>
        <vt:lpwstr/>
      </vt:variant>
      <vt:variant>
        <vt:i4>7012411</vt:i4>
      </vt:variant>
      <vt:variant>
        <vt:i4>6</vt:i4>
      </vt:variant>
      <vt:variant>
        <vt:i4>0</vt:i4>
      </vt:variant>
      <vt:variant>
        <vt:i4>5</vt:i4>
      </vt:variant>
      <vt:variant>
        <vt:lpwstr>http://www.nczk.cz/</vt:lpwstr>
      </vt:variant>
      <vt:variant>
        <vt:lpwstr/>
      </vt:variant>
      <vt:variant>
        <vt:i4>6881313</vt:i4>
      </vt:variant>
      <vt:variant>
        <vt:i4>3</vt:i4>
      </vt:variant>
      <vt:variant>
        <vt:i4>0</vt:i4>
      </vt:variant>
      <vt:variant>
        <vt:i4>5</vt:i4>
      </vt:variant>
      <vt:variant>
        <vt:lpwstr>http://www.historickasidla.cz/cs/historicke-mesto-roku/</vt:lpwstr>
      </vt:variant>
      <vt:variant>
        <vt:lpwstr/>
      </vt:variant>
      <vt:variant>
        <vt:i4>4980829</vt:i4>
      </vt:variant>
      <vt:variant>
        <vt:i4>0</vt:i4>
      </vt:variant>
      <vt:variant>
        <vt:i4>0</vt:i4>
      </vt:variant>
      <vt:variant>
        <vt:i4>5</vt:i4>
      </vt:variant>
      <vt:variant>
        <vt:lpwstr>http://www.mkcr.cz/program-regenerace-mestskych-pamatkovych-rezervaci-a-mestskych-pamatkovych-zon-282.html?searchString=program%20regenerace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NPÚ</dc:creator>
  <cp:keywords/>
  <cp:lastModifiedBy>zelinkova</cp:lastModifiedBy>
  <cp:revision>17</cp:revision>
  <cp:lastPrinted>2018-04-17T13:47:00Z</cp:lastPrinted>
  <dcterms:created xsi:type="dcterms:W3CDTF">2018-04-17T10:51:00Z</dcterms:created>
  <dcterms:modified xsi:type="dcterms:W3CDTF">2024-07-11T12:25:00Z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